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D2DEC" w14:textId="77777777" w:rsidR="00B67170" w:rsidRDefault="00B67170" w:rsidP="00C5356A">
      <w:pPr>
        <w:rPr>
          <w:rFonts w:ascii="Arial" w:hAnsi="Arial" w:cs="Arial"/>
        </w:rPr>
      </w:pPr>
    </w:p>
    <w:p w14:paraId="63277FF0" w14:textId="77777777" w:rsidR="00B67170" w:rsidRDefault="00B67170" w:rsidP="00B67170">
      <w:pPr>
        <w:ind w:left="-851"/>
        <w:rPr>
          <w:rFonts w:ascii="Arial" w:hAnsi="Arial" w:cs="Arial"/>
          <w:i/>
          <w:sz w:val="20"/>
        </w:rPr>
      </w:pPr>
      <w:r>
        <w:rPr>
          <w:rFonts w:ascii="Arial" w:hAnsi="Arial" w:cs="Arial"/>
          <w:i/>
          <w:sz w:val="20"/>
        </w:rPr>
        <w:t>_________________________________________________________________________</w:t>
      </w:r>
    </w:p>
    <w:p w14:paraId="7D6405C8" w14:textId="77777777" w:rsidR="00B67170" w:rsidRDefault="00B67170" w:rsidP="00B67170">
      <w:pPr>
        <w:ind w:left="-851"/>
        <w:rPr>
          <w:rFonts w:ascii="Arial" w:hAnsi="Arial" w:cs="Arial"/>
          <w:i/>
          <w:sz w:val="20"/>
        </w:rPr>
      </w:pPr>
    </w:p>
    <w:p w14:paraId="013EC392" w14:textId="7D348F01" w:rsidR="00B67170" w:rsidRPr="009F7A32" w:rsidRDefault="00B67170" w:rsidP="00B67170">
      <w:pPr>
        <w:ind w:left="-851"/>
        <w:rPr>
          <w:rFonts w:ascii="Arial" w:hAnsi="Arial" w:cs="Arial"/>
          <w:i/>
          <w:sz w:val="18"/>
          <w:szCs w:val="18"/>
        </w:rPr>
      </w:pPr>
      <w:r w:rsidRPr="009F7A32">
        <w:rPr>
          <w:rFonts w:ascii="Arial" w:hAnsi="Arial" w:cs="Arial"/>
          <w:i/>
          <w:sz w:val="18"/>
          <w:szCs w:val="18"/>
        </w:rPr>
        <w:t xml:space="preserve">Extract from the below named document for ICS Implementation purposes;  </w:t>
      </w:r>
      <w:hyperlink r:id="rId7" w:history="1">
        <w:r w:rsidR="009F7A32" w:rsidRPr="009F7A32">
          <w:rPr>
            <w:rStyle w:val="Hyperlink"/>
            <w:rFonts w:ascii="Arial" w:hAnsi="Arial" w:cs="Arial"/>
            <w:sz w:val="18"/>
            <w:szCs w:val="18"/>
          </w:rPr>
          <w:t>Microsoft Word - EBI consultation response statutory guidance 11 Jan 2019 FINAL v2.0 CLEAN + cover sheet.docx (aomrc.org.uk)</w:t>
        </w:r>
      </w:hyperlink>
    </w:p>
    <w:p w14:paraId="5FE15988" w14:textId="77777777" w:rsidR="00B67170" w:rsidRDefault="00B67170" w:rsidP="00B67170">
      <w:pPr>
        <w:ind w:left="-851"/>
        <w:rPr>
          <w:rFonts w:ascii="Arial" w:hAnsi="Arial" w:cs="Arial"/>
        </w:rPr>
      </w:pPr>
    </w:p>
    <w:p w14:paraId="633497AA" w14:textId="77777777" w:rsidR="003B270E" w:rsidRPr="009F7A32" w:rsidRDefault="003B270E" w:rsidP="00B67170">
      <w:pPr>
        <w:ind w:left="-851"/>
        <w:rPr>
          <w:rFonts w:ascii="Arial" w:hAnsi="Arial" w:cs="Arial"/>
          <w:u w:val="single"/>
        </w:rPr>
      </w:pPr>
      <w:r w:rsidRPr="009F7A32">
        <w:rPr>
          <w:rFonts w:ascii="Arial" w:hAnsi="Arial" w:cs="Arial"/>
          <w:u w:val="single"/>
        </w:rPr>
        <w:t>Ganglion excision</w:t>
      </w:r>
    </w:p>
    <w:p w14:paraId="73AB3137" w14:textId="77777777" w:rsidR="00B67170" w:rsidRPr="009F7A32" w:rsidRDefault="00B67170" w:rsidP="00B67170">
      <w:pPr>
        <w:ind w:left="-851"/>
        <w:rPr>
          <w:rFonts w:ascii="Arial" w:hAnsi="Arial" w:cs="Arial"/>
          <w:u w:val="single"/>
        </w:rPr>
      </w:pPr>
    </w:p>
    <w:p w14:paraId="098C10BB" w14:textId="77777777" w:rsidR="003B270E" w:rsidRPr="009F7A32" w:rsidRDefault="003B270E" w:rsidP="00B67170">
      <w:pPr>
        <w:ind w:left="-851"/>
        <w:rPr>
          <w:rFonts w:ascii="Arial" w:hAnsi="Arial" w:cs="Arial"/>
          <w:u w:val="single"/>
        </w:rPr>
      </w:pPr>
      <w:r w:rsidRPr="009F7A32">
        <w:rPr>
          <w:rFonts w:ascii="Arial" w:hAnsi="Arial" w:cs="Arial"/>
          <w:u w:val="single"/>
        </w:rPr>
        <w:t>Updated description of the intervention</w:t>
      </w:r>
    </w:p>
    <w:p w14:paraId="5D6A9240" w14:textId="77777777" w:rsidR="00B67170" w:rsidRDefault="00B67170" w:rsidP="00B67170">
      <w:pPr>
        <w:ind w:left="-851"/>
        <w:rPr>
          <w:rFonts w:ascii="Arial" w:hAnsi="Arial" w:cs="Arial"/>
        </w:rPr>
      </w:pPr>
    </w:p>
    <w:p w14:paraId="5C79838E" w14:textId="77777777" w:rsidR="003B270E" w:rsidRPr="00B67170" w:rsidRDefault="003B270E" w:rsidP="00B67170">
      <w:pPr>
        <w:ind w:left="-851"/>
        <w:rPr>
          <w:rFonts w:ascii="Arial" w:hAnsi="Arial" w:cs="Arial"/>
        </w:rPr>
      </w:pPr>
      <w:r w:rsidRPr="00B67170">
        <w:rPr>
          <w:rFonts w:ascii="Arial" w:hAnsi="Arial" w:cs="Arial"/>
        </w:rPr>
        <w:t xml:space="preserve">Most people live comfortably with ganglia and they often resolve spontaneously over time. Ganglion excision </w:t>
      </w:r>
      <w:proofErr w:type="gramStart"/>
      <w:r w:rsidRPr="00B67170">
        <w:rPr>
          <w:rFonts w:ascii="Arial" w:hAnsi="Arial" w:cs="Arial"/>
        </w:rPr>
        <w:t>can  be</w:t>
      </w:r>
      <w:proofErr w:type="gramEnd"/>
      <w:r w:rsidRPr="00B67170">
        <w:rPr>
          <w:rFonts w:ascii="Arial" w:hAnsi="Arial" w:cs="Arial"/>
        </w:rPr>
        <w:t xml:space="preserve">  unnecessary,  can  cause  complications,  and recurrence is common following surgery. The complications may be similar to or   worse than the original problem. Ganglion excision should only be offered under the criteria outlined below.</w:t>
      </w:r>
    </w:p>
    <w:p w14:paraId="3CB8C46A" w14:textId="77777777" w:rsidR="003B270E" w:rsidRPr="00B67170" w:rsidRDefault="003B270E" w:rsidP="00B67170">
      <w:pPr>
        <w:ind w:left="-851"/>
        <w:rPr>
          <w:rFonts w:ascii="Arial" w:hAnsi="Arial" w:cs="Arial"/>
        </w:rPr>
      </w:pPr>
    </w:p>
    <w:p w14:paraId="1753EA95" w14:textId="77777777" w:rsidR="003B270E" w:rsidRPr="00B67170" w:rsidRDefault="003B270E" w:rsidP="00B67170">
      <w:pPr>
        <w:ind w:left="-851"/>
        <w:rPr>
          <w:rFonts w:ascii="Arial" w:hAnsi="Arial" w:cs="Arial"/>
        </w:rPr>
      </w:pPr>
      <w:r w:rsidRPr="00B67170">
        <w:rPr>
          <w:rFonts w:ascii="Arial" w:hAnsi="Arial" w:cs="Arial"/>
        </w:rPr>
        <w:t>Updated clinical criteria</w:t>
      </w:r>
    </w:p>
    <w:p w14:paraId="095B01F7" w14:textId="77777777" w:rsidR="003B270E" w:rsidRPr="00B67170" w:rsidRDefault="003B270E" w:rsidP="00C5356A">
      <w:pPr>
        <w:rPr>
          <w:rFonts w:ascii="Arial" w:hAnsi="Arial" w:cs="Arial"/>
        </w:rPr>
      </w:pPr>
    </w:p>
    <w:tbl>
      <w:tblPr>
        <w:tblW w:w="10124"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24"/>
      </w:tblGrid>
      <w:tr w:rsidR="003B270E" w:rsidRPr="00B67170" w14:paraId="25FD55BA" w14:textId="77777777" w:rsidTr="00E83114">
        <w:trPr>
          <w:trHeight w:val="275"/>
        </w:trPr>
        <w:tc>
          <w:tcPr>
            <w:tcW w:w="10124" w:type="dxa"/>
            <w:shd w:val="clear" w:color="auto" w:fill="16365D"/>
          </w:tcPr>
          <w:p w14:paraId="03671E2D" w14:textId="77777777" w:rsidR="003B270E" w:rsidRPr="00B67170" w:rsidRDefault="003B270E" w:rsidP="00C5356A">
            <w:pPr>
              <w:rPr>
                <w:rFonts w:ascii="Arial" w:hAnsi="Arial" w:cs="Arial"/>
              </w:rPr>
            </w:pPr>
            <w:r w:rsidRPr="00B67170">
              <w:rPr>
                <w:rFonts w:ascii="Arial" w:hAnsi="Arial" w:cs="Arial"/>
              </w:rPr>
              <w:t>Summary of intervention</w:t>
            </w:r>
          </w:p>
        </w:tc>
      </w:tr>
      <w:tr w:rsidR="003B270E" w:rsidRPr="00B67170" w14:paraId="04C76FA2" w14:textId="77777777" w:rsidTr="00E83114">
        <w:trPr>
          <w:trHeight w:val="1878"/>
        </w:trPr>
        <w:tc>
          <w:tcPr>
            <w:tcW w:w="10124" w:type="dxa"/>
          </w:tcPr>
          <w:p w14:paraId="02CE8EF3" w14:textId="77777777" w:rsidR="003B270E" w:rsidRPr="00B67170" w:rsidRDefault="003B270E" w:rsidP="00C5356A">
            <w:pPr>
              <w:rPr>
                <w:rFonts w:ascii="Arial" w:hAnsi="Arial" w:cs="Arial"/>
              </w:rPr>
            </w:pPr>
            <w:r w:rsidRPr="00B67170">
              <w:rPr>
                <w:rFonts w:ascii="Arial" w:hAnsi="Arial" w:cs="Arial"/>
              </w:rPr>
              <w:t>Ganglia are cystic swellings containing jelly-like fluid which form around the wrists or in the hand.  In most cases wrist ganglia cause only mild symptoms which do not restrict function, and many resolve without treatment within a year. Wrist ganglion rarely press on a nerve or other structure, causing pain and reduced hand function.</w:t>
            </w:r>
          </w:p>
          <w:p w14:paraId="494EB39A" w14:textId="77777777" w:rsidR="003B270E" w:rsidRPr="00B67170" w:rsidRDefault="003B270E" w:rsidP="00C5356A">
            <w:pPr>
              <w:rPr>
                <w:rFonts w:ascii="Arial" w:hAnsi="Arial" w:cs="Arial"/>
              </w:rPr>
            </w:pPr>
            <w:r w:rsidRPr="00B67170">
              <w:rPr>
                <w:rFonts w:ascii="Arial" w:hAnsi="Arial" w:cs="Arial"/>
              </w:rPr>
              <w:t>Ganglia in the palm of the hand (seed ganglia) can cause pain when carrying objects.</w:t>
            </w:r>
          </w:p>
          <w:p w14:paraId="6B4D050B" w14:textId="77777777" w:rsidR="003B270E" w:rsidRPr="00B67170" w:rsidRDefault="003B270E" w:rsidP="00C5356A">
            <w:pPr>
              <w:rPr>
                <w:rFonts w:ascii="Arial" w:hAnsi="Arial" w:cs="Arial"/>
              </w:rPr>
            </w:pPr>
            <w:r w:rsidRPr="00B67170">
              <w:rPr>
                <w:rFonts w:ascii="Arial" w:hAnsi="Arial" w:cs="Arial"/>
              </w:rPr>
              <w:t>Ganglia which form just below the nail (mucous cysts) can deform the nail bed and discharge fluid, but occasionally become infected and can result in se</w:t>
            </w:r>
            <w:r w:rsidR="00E83114">
              <w:rPr>
                <w:rFonts w:ascii="Arial" w:hAnsi="Arial" w:cs="Arial"/>
              </w:rPr>
              <w:t xml:space="preserve">ptic arthritis </w:t>
            </w:r>
            <w:r w:rsidRPr="00B67170">
              <w:rPr>
                <w:rFonts w:ascii="Arial" w:hAnsi="Arial" w:cs="Arial"/>
              </w:rPr>
              <w:t>of the distal finger joint.</w:t>
            </w:r>
          </w:p>
        </w:tc>
      </w:tr>
      <w:tr w:rsidR="003B270E" w:rsidRPr="00B67170" w14:paraId="45BCC3B3" w14:textId="77777777" w:rsidTr="00E83114">
        <w:trPr>
          <w:trHeight w:val="275"/>
        </w:trPr>
        <w:tc>
          <w:tcPr>
            <w:tcW w:w="10124" w:type="dxa"/>
            <w:shd w:val="clear" w:color="auto" w:fill="16365D"/>
          </w:tcPr>
          <w:p w14:paraId="72125E69" w14:textId="77777777" w:rsidR="003B270E" w:rsidRPr="00B67170" w:rsidRDefault="003B270E" w:rsidP="00C5356A">
            <w:pPr>
              <w:rPr>
                <w:rFonts w:ascii="Arial" w:hAnsi="Arial" w:cs="Arial"/>
              </w:rPr>
            </w:pPr>
            <w:r w:rsidRPr="00B67170">
              <w:rPr>
                <w:rFonts w:ascii="Arial" w:hAnsi="Arial" w:cs="Arial"/>
              </w:rPr>
              <w:t>Number of CCG interventions in 2017/18</w:t>
            </w:r>
          </w:p>
        </w:tc>
      </w:tr>
      <w:tr w:rsidR="003B270E" w:rsidRPr="00B67170" w14:paraId="792B8C36" w14:textId="77777777" w:rsidTr="00E83114">
        <w:trPr>
          <w:trHeight w:val="278"/>
        </w:trPr>
        <w:tc>
          <w:tcPr>
            <w:tcW w:w="10124" w:type="dxa"/>
          </w:tcPr>
          <w:p w14:paraId="75AC970C" w14:textId="77777777" w:rsidR="003B270E" w:rsidRPr="00B67170" w:rsidRDefault="003B270E" w:rsidP="00C5356A">
            <w:pPr>
              <w:rPr>
                <w:rFonts w:ascii="Arial" w:hAnsi="Arial" w:cs="Arial"/>
              </w:rPr>
            </w:pPr>
            <w:r w:rsidRPr="00B67170">
              <w:rPr>
                <w:rFonts w:ascii="Arial" w:hAnsi="Arial" w:cs="Arial"/>
              </w:rPr>
              <w:t>6,219</w:t>
            </w:r>
          </w:p>
        </w:tc>
      </w:tr>
      <w:tr w:rsidR="003B270E" w:rsidRPr="00B67170" w14:paraId="4DE132A9" w14:textId="77777777" w:rsidTr="00E83114">
        <w:trPr>
          <w:trHeight w:val="275"/>
        </w:trPr>
        <w:tc>
          <w:tcPr>
            <w:tcW w:w="10124" w:type="dxa"/>
            <w:shd w:val="clear" w:color="auto" w:fill="16365D"/>
          </w:tcPr>
          <w:p w14:paraId="16AEE057" w14:textId="77777777" w:rsidR="003B270E" w:rsidRPr="00B67170" w:rsidRDefault="003B270E" w:rsidP="00C5356A">
            <w:pPr>
              <w:rPr>
                <w:rFonts w:ascii="Arial" w:hAnsi="Arial" w:cs="Arial"/>
              </w:rPr>
            </w:pPr>
            <w:r w:rsidRPr="00B67170">
              <w:rPr>
                <w:rFonts w:ascii="Arial" w:hAnsi="Arial" w:cs="Arial"/>
              </w:rPr>
              <w:t>Recommendation</w:t>
            </w:r>
          </w:p>
        </w:tc>
      </w:tr>
      <w:tr w:rsidR="003B270E" w:rsidRPr="00B67170" w14:paraId="7438C1D5" w14:textId="77777777" w:rsidTr="00E83114">
        <w:trPr>
          <w:trHeight w:val="2824"/>
        </w:trPr>
        <w:tc>
          <w:tcPr>
            <w:tcW w:w="10124" w:type="dxa"/>
          </w:tcPr>
          <w:p w14:paraId="53615B0E" w14:textId="77777777" w:rsidR="003B270E" w:rsidRPr="00B67170" w:rsidRDefault="003B270E" w:rsidP="00C5356A">
            <w:pPr>
              <w:rPr>
                <w:rFonts w:ascii="Arial" w:hAnsi="Arial" w:cs="Arial"/>
              </w:rPr>
            </w:pPr>
            <w:r w:rsidRPr="00B67170">
              <w:rPr>
                <w:rFonts w:ascii="Arial" w:hAnsi="Arial" w:cs="Arial"/>
              </w:rPr>
              <w:t>Wrist ganglia</w:t>
            </w:r>
          </w:p>
          <w:p w14:paraId="58EF03DF" w14:textId="77777777" w:rsidR="003B270E" w:rsidRPr="00B67170" w:rsidRDefault="003B270E" w:rsidP="00C5356A">
            <w:pPr>
              <w:rPr>
                <w:rFonts w:ascii="Arial" w:hAnsi="Arial" w:cs="Arial"/>
              </w:rPr>
            </w:pPr>
            <w:r w:rsidRPr="00B67170">
              <w:rPr>
                <w:rFonts w:ascii="Arial" w:hAnsi="Arial" w:cs="Arial"/>
              </w:rPr>
              <w:t>no  treatment  unless causing pain or  tingling/numbness or concern (worried  it is a cancer);</w:t>
            </w:r>
          </w:p>
          <w:p w14:paraId="64746F68" w14:textId="77777777" w:rsidR="003B270E" w:rsidRPr="00B67170" w:rsidRDefault="003B270E" w:rsidP="00C5356A">
            <w:pPr>
              <w:rPr>
                <w:rFonts w:ascii="Arial" w:hAnsi="Arial" w:cs="Arial"/>
              </w:rPr>
            </w:pPr>
            <w:r w:rsidRPr="00B67170">
              <w:rPr>
                <w:rFonts w:ascii="Arial" w:hAnsi="Arial" w:cs="Arial"/>
              </w:rPr>
              <w:t>aspiration if causing pain, tingling/numbness or concern</w:t>
            </w:r>
            <w:r w:rsidR="00E83114">
              <w:rPr>
                <w:rFonts w:ascii="Arial" w:hAnsi="Arial" w:cs="Arial"/>
              </w:rPr>
              <w:t xml:space="preserve"> </w:t>
            </w:r>
            <w:r w:rsidRPr="00B67170">
              <w:rPr>
                <w:rFonts w:ascii="Arial" w:hAnsi="Arial" w:cs="Arial"/>
              </w:rPr>
              <w:t>surgical excision only considered if aspiration fails to resolve the pain or tingling/numbness and there is restricted hand function.</w:t>
            </w:r>
          </w:p>
          <w:p w14:paraId="61E2CA1D" w14:textId="77777777" w:rsidR="003B270E" w:rsidRPr="00B67170" w:rsidRDefault="003B270E" w:rsidP="00C5356A">
            <w:pPr>
              <w:rPr>
                <w:rFonts w:ascii="Arial" w:hAnsi="Arial" w:cs="Arial"/>
              </w:rPr>
            </w:pPr>
          </w:p>
          <w:p w14:paraId="54709280" w14:textId="77777777" w:rsidR="003B270E" w:rsidRPr="00B67170" w:rsidRDefault="003B270E" w:rsidP="00C5356A">
            <w:pPr>
              <w:rPr>
                <w:rFonts w:ascii="Arial" w:hAnsi="Arial" w:cs="Arial"/>
              </w:rPr>
            </w:pPr>
            <w:r w:rsidRPr="00B67170">
              <w:rPr>
                <w:rFonts w:ascii="Arial" w:hAnsi="Arial" w:cs="Arial"/>
              </w:rPr>
              <w:t>Seed ganglia that are painful</w:t>
            </w:r>
          </w:p>
          <w:p w14:paraId="7DB11BC7" w14:textId="77777777" w:rsidR="003B270E" w:rsidRPr="00B67170" w:rsidRDefault="003B270E" w:rsidP="00C5356A">
            <w:pPr>
              <w:rPr>
                <w:rFonts w:ascii="Arial" w:hAnsi="Arial" w:cs="Arial"/>
              </w:rPr>
            </w:pPr>
            <w:r w:rsidRPr="00B67170">
              <w:rPr>
                <w:rFonts w:ascii="Arial" w:hAnsi="Arial" w:cs="Arial"/>
              </w:rPr>
              <w:t>puncture/aspirate the ganglion using a hypodermic needle</w:t>
            </w:r>
            <w:r w:rsidR="00E83114">
              <w:rPr>
                <w:rFonts w:ascii="Arial" w:hAnsi="Arial" w:cs="Arial"/>
              </w:rPr>
              <w:t xml:space="preserve"> </w:t>
            </w:r>
            <w:r w:rsidRPr="00B67170">
              <w:rPr>
                <w:rFonts w:ascii="Arial" w:hAnsi="Arial" w:cs="Arial"/>
              </w:rPr>
              <w:t>surgical excision only considered if ganglion persists or recurs after puncture/aspiration.</w:t>
            </w:r>
          </w:p>
          <w:p w14:paraId="0E8394FC" w14:textId="77777777" w:rsidR="003B270E" w:rsidRPr="00B67170" w:rsidRDefault="003B270E" w:rsidP="00C5356A">
            <w:pPr>
              <w:rPr>
                <w:rFonts w:ascii="Arial" w:hAnsi="Arial" w:cs="Arial"/>
              </w:rPr>
            </w:pPr>
          </w:p>
          <w:p w14:paraId="68F74C67" w14:textId="77777777" w:rsidR="003B270E" w:rsidRPr="00B67170" w:rsidRDefault="003B270E" w:rsidP="00C5356A">
            <w:pPr>
              <w:rPr>
                <w:rFonts w:ascii="Arial" w:hAnsi="Arial" w:cs="Arial"/>
              </w:rPr>
            </w:pPr>
            <w:r w:rsidRPr="00B67170">
              <w:rPr>
                <w:rFonts w:ascii="Arial" w:hAnsi="Arial" w:cs="Arial"/>
              </w:rPr>
              <w:t>Mucous cysts</w:t>
            </w:r>
          </w:p>
          <w:p w14:paraId="723B08D8" w14:textId="77777777" w:rsidR="003B270E" w:rsidRDefault="003B270E" w:rsidP="00C5356A">
            <w:pPr>
              <w:rPr>
                <w:rFonts w:ascii="Arial" w:hAnsi="Arial" w:cs="Arial"/>
              </w:rPr>
            </w:pPr>
            <w:r w:rsidRPr="00B67170">
              <w:rPr>
                <w:rFonts w:ascii="Arial" w:hAnsi="Arial" w:cs="Arial"/>
              </w:rPr>
              <w:t>no surgery considered unless recurrent spontaneous discharge of fluid or significant nail deformity.</w:t>
            </w:r>
          </w:p>
          <w:p w14:paraId="5DCF4938" w14:textId="77777777" w:rsidR="00B67170" w:rsidRPr="00B67170" w:rsidRDefault="00B67170" w:rsidP="00C5356A">
            <w:pPr>
              <w:rPr>
                <w:rFonts w:ascii="Arial" w:hAnsi="Arial" w:cs="Arial"/>
              </w:rPr>
            </w:pPr>
          </w:p>
        </w:tc>
      </w:tr>
      <w:tr w:rsidR="003B270E" w:rsidRPr="00B67170" w14:paraId="489D0DBE" w14:textId="77777777" w:rsidTr="00E83114">
        <w:trPr>
          <w:trHeight w:val="275"/>
        </w:trPr>
        <w:tc>
          <w:tcPr>
            <w:tcW w:w="10124" w:type="dxa"/>
            <w:shd w:val="clear" w:color="auto" w:fill="16365D"/>
          </w:tcPr>
          <w:p w14:paraId="4070F613" w14:textId="77777777" w:rsidR="003B270E" w:rsidRPr="00B67170" w:rsidRDefault="003B270E" w:rsidP="00C5356A">
            <w:pPr>
              <w:rPr>
                <w:rFonts w:ascii="Arial" w:hAnsi="Arial" w:cs="Arial"/>
              </w:rPr>
            </w:pPr>
            <w:r w:rsidRPr="00B67170">
              <w:rPr>
                <w:rFonts w:ascii="Arial" w:hAnsi="Arial" w:cs="Arial"/>
              </w:rPr>
              <w:t>Rationale for recommendation</w:t>
            </w:r>
          </w:p>
        </w:tc>
      </w:tr>
      <w:tr w:rsidR="00E83114" w:rsidRPr="00B67170" w14:paraId="27007734" w14:textId="77777777" w:rsidTr="00E83114">
        <w:trPr>
          <w:trHeight w:val="275"/>
        </w:trPr>
        <w:tc>
          <w:tcPr>
            <w:tcW w:w="10124" w:type="dxa"/>
            <w:shd w:val="clear" w:color="auto" w:fill="auto"/>
          </w:tcPr>
          <w:p w14:paraId="4C251FDE" w14:textId="77777777" w:rsidR="00E83114" w:rsidRPr="00B67170" w:rsidRDefault="00E83114" w:rsidP="00E83114">
            <w:pPr>
              <w:rPr>
                <w:rFonts w:ascii="Arial" w:hAnsi="Arial" w:cs="Arial"/>
              </w:rPr>
            </w:pPr>
            <w:r w:rsidRPr="00B67170">
              <w:rPr>
                <w:rFonts w:ascii="Arial" w:hAnsi="Arial" w:cs="Arial"/>
              </w:rPr>
              <w:t xml:space="preserve">Most wrist ganglia get better on their own.  Surgery causes restricted wrist </w:t>
            </w:r>
            <w:proofErr w:type="gramStart"/>
            <w:r w:rsidRPr="00B67170">
              <w:rPr>
                <w:rFonts w:ascii="Arial" w:hAnsi="Arial" w:cs="Arial"/>
              </w:rPr>
              <w:t>and  hand</w:t>
            </w:r>
            <w:proofErr w:type="gramEnd"/>
            <w:r w:rsidRPr="00B67170">
              <w:rPr>
                <w:rFonts w:ascii="Arial" w:hAnsi="Arial" w:cs="Arial"/>
              </w:rPr>
              <w:t xml:space="preserve"> function for 4-6 weeks, may leave an unsightly scar and be complicated by recurrent ganglion formation. Aspiration of wrist ganglia may relieve pain and restore hand function, and “cure” a minority (30%). Most ganglia reform after aspiration but they may </w:t>
            </w:r>
            <w:proofErr w:type="gramStart"/>
            <w:r w:rsidRPr="00B67170">
              <w:rPr>
                <w:rFonts w:ascii="Arial" w:hAnsi="Arial" w:cs="Arial"/>
              </w:rPr>
              <w:t>then  be</w:t>
            </w:r>
            <w:proofErr w:type="gramEnd"/>
            <w:r w:rsidRPr="00B67170">
              <w:rPr>
                <w:rFonts w:ascii="Arial" w:hAnsi="Arial" w:cs="Arial"/>
              </w:rPr>
              <w:t xml:space="preserve">  painless.  </w:t>
            </w:r>
            <w:proofErr w:type="gramStart"/>
            <w:r w:rsidRPr="00B67170">
              <w:rPr>
                <w:rFonts w:ascii="Arial" w:hAnsi="Arial" w:cs="Arial"/>
              </w:rPr>
              <w:t>Aspiration  also</w:t>
            </w:r>
            <w:proofErr w:type="gramEnd"/>
            <w:r w:rsidRPr="00B67170">
              <w:rPr>
                <w:rFonts w:ascii="Arial" w:hAnsi="Arial" w:cs="Arial"/>
              </w:rPr>
              <w:t xml:space="preserve">  reassures the patient that the swelling is not a cancer but a benign cyst full of jelly.</w:t>
            </w:r>
          </w:p>
          <w:p w14:paraId="47446C6D" w14:textId="77777777" w:rsidR="00E83114" w:rsidRPr="00B67170" w:rsidRDefault="00E83114" w:rsidP="00C5356A">
            <w:pPr>
              <w:rPr>
                <w:rFonts w:ascii="Arial" w:hAnsi="Arial" w:cs="Arial"/>
              </w:rPr>
            </w:pPr>
            <w:r w:rsidRPr="00B67170">
              <w:rPr>
                <w:rFonts w:ascii="Arial" w:hAnsi="Arial" w:cs="Arial"/>
              </w:rPr>
              <w:t>Complication and recurrence are rare after aspiration and surgery for seed ganglia</w:t>
            </w:r>
          </w:p>
        </w:tc>
      </w:tr>
      <w:tr w:rsidR="00B67170" w:rsidRPr="00B67170" w14:paraId="403C049F" w14:textId="77777777" w:rsidTr="00E83114">
        <w:trPr>
          <w:trHeight w:val="401"/>
        </w:trPr>
        <w:tc>
          <w:tcPr>
            <w:tcW w:w="10124" w:type="dxa"/>
            <w:shd w:val="clear" w:color="auto" w:fill="244061" w:themeFill="accent1" w:themeFillShade="80"/>
          </w:tcPr>
          <w:p w14:paraId="57E9C50E" w14:textId="77777777" w:rsidR="00B67170" w:rsidRPr="00B67170" w:rsidRDefault="00B67170" w:rsidP="00B67170">
            <w:pPr>
              <w:rPr>
                <w:rFonts w:ascii="Arial" w:hAnsi="Arial" w:cs="Arial"/>
              </w:rPr>
            </w:pPr>
            <w:r w:rsidRPr="00B67170">
              <w:rPr>
                <w:rFonts w:ascii="Arial" w:hAnsi="Arial" w:cs="Arial"/>
              </w:rPr>
              <w:t>Reference</w:t>
            </w:r>
          </w:p>
          <w:p w14:paraId="3E3988A5" w14:textId="77777777" w:rsidR="00B67170" w:rsidRPr="00B67170" w:rsidRDefault="00B67170" w:rsidP="00C5356A">
            <w:pPr>
              <w:rPr>
                <w:rFonts w:ascii="Arial" w:hAnsi="Arial" w:cs="Arial"/>
              </w:rPr>
            </w:pPr>
          </w:p>
        </w:tc>
      </w:tr>
      <w:tr w:rsidR="00B67170" w:rsidRPr="00B67170" w14:paraId="5EBD9A85" w14:textId="77777777" w:rsidTr="00E83114">
        <w:trPr>
          <w:trHeight w:val="1883"/>
        </w:trPr>
        <w:tc>
          <w:tcPr>
            <w:tcW w:w="10124" w:type="dxa"/>
          </w:tcPr>
          <w:p w14:paraId="598A2A11" w14:textId="77777777" w:rsidR="00B67170" w:rsidRPr="00B67170" w:rsidRDefault="00B67170" w:rsidP="00B67170">
            <w:pPr>
              <w:rPr>
                <w:rFonts w:ascii="Arial" w:hAnsi="Arial" w:cs="Arial"/>
              </w:rPr>
            </w:pPr>
            <w:r w:rsidRPr="00B67170">
              <w:rPr>
                <w:rFonts w:ascii="Arial" w:hAnsi="Arial" w:cs="Arial"/>
              </w:rPr>
              <w:lastRenderedPageBreak/>
              <w:t xml:space="preserve">Head L, </w:t>
            </w:r>
            <w:proofErr w:type="spellStart"/>
            <w:r w:rsidRPr="00B67170">
              <w:rPr>
                <w:rFonts w:ascii="Arial" w:hAnsi="Arial" w:cs="Arial"/>
              </w:rPr>
              <w:t>Gencarelli</w:t>
            </w:r>
            <w:proofErr w:type="spellEnd"/>
            <w:r w:rsidRPr="00B67170">
              <w:rPr>
                <w:rFonts w:ascii="Arial" w:hAnsi="Arial" w:cs="Arial"/>
              </w:rPr>
              <w:t xml:space="preserve"> JR, Allen M, Boyd KU. Wrist ganglion treatment: Systematic review and meta-analysis. J Hand Surg Am. 2015, 40: 546-53 e8.</w:t>
            </w:r>
          </w:p>
          <w:p w14:paraId="247CB401" w14:textId="77777777" w:rsidR="00B67170" w:rsidRPr="00B67170" w:rsidRDefault="00B67170" w:rsidP="00B67170">
            <w:pPr>
              <w:rPr>
                <w:rFonts w:ascii="Arial" w:hAnsi="Arial" w:cs="Arial"/>
              </w:rPr>
            </w:pPr>
            <w:r w:rsidRPr="00B67170">
              <w:rPr>
                <w:rFonts w:ascii="Arial" w:hAnsi="Arial" w:cs="Arial"/>
              </w:rPr>
              <w:t xml:space="preserve">Naam NH, </w:t>
            </w:r>
            <w:proofErr w:type="spellStart"/>
            <w:r w:rsidRPr="00B67170">
              <w:rPr>
                <w:rFonts w:ascii="Arial" w:hAnsi="Arial" w:cs="Arial"/>
              </w:rPr>
              <w:t>Carr</w:t>
            </w:r>
            <w:proofErr w:type="spellEnd"/>
            <w:r w:rsidRPr="00B67170">
              <w:rPr>
                <w:rFonts w:ascii="Arial" w:hAnsi="Arial" w:cs="Arial"/>
              </w:rPr>
              <w:t xml:space="preserve"> SB, </w:t>
            </w:r>
            <w:proofErr w:type="spellStart"/>
            <w:r w:rsidRPr="00B67170">
              <w:rPr>
                <w:rFonts w:ascii="Arial" w:hAnsi="Arial" w:cs="Arial"/>
              </w:rPr>
              <w:t>Massoud</w:t>
            </w:r>
            <w:proofErr w:type="spellEnd"/>
            <w:r w:rsidRPr="00B67170">
              <w:rPr>
                <w:rFonts w:ascii="Arial" w:hAnsi="Arial" w:cs="Arial"/>
              </w:rPr>
              <w:t xml:space="preserve"> AH. Intraneural Ganglions of the Hand and Wrist. J Hand Surg Am. 2015 Aug;40(8):1625-30. </w:t>
            </w:r>
            <w:proofErr w:type="spellStart"/>
            <w:r w:rsidRPr="00B67170">
              <w:rPr>
                <w:rFonts w:ascii="Arial" w:hAnsi="Arial" w:cs="Arial"/>
              </w:rPr>
              <w:t>doi</w:t>
            </w:r>
            <w:proofErr w:type="spellEnd"/>
            <w:r w:rsidRPr="00B67170">
              <w:rPr>
                <w:rFonts w:ascii="Arial" w:hAnsi="Arial" w:cs="Arial"/>
              </w:rPr>
              <w:t>: 10.1016/j.jhsa.2015.05.025. PubMed PMID: 26213199.</w:t>
            </w:r>
          </w:p>
          <w:p w14:paraId="5F125E6E" w14:textId="77777777" w:rsidR="00B67170" w:rsidRPr="00B67170" w:rsidRDefault="009F7A32" w:rsidP="00B67170">
            <w:pPr>
              <w:rPr>
                <w:rFonts w:ascii="Arial" w:hAnsi="Arial" w:cs="Arial"/>
              </w:rPr>
            </w:pPr>
            <w:hyperlink r:id="rId8">
              <w:r w:rsidR="00B67170" w:rsidRPr="00B67170">
                <w:rPr>
                  <w:rStyle w:val="Hyperlink"/>
                  <w:rFonts w:ascii="Arial" w:hAnsi="Arial" w:cs="Arial"/>
                </w:rPr>
                <w:t>http://www.bssh.ac.uk/_userfiles/pages/files/Patients/Conditions/Elective/ga</w:t>
              </w:r>
            </w:hyperlink>
            <w:r w:rsidR="00B67170" w:rsidRPr="00B67170">
              <w:rPr>
                <w:rFonts w:ascii="Arial" w:hAnsi="Arial" w:cs="Arial"/>
              </w:rPr>
              <w:t xml:space="preserve"> nglion_cyst_leaflet-2016.pdf</w:t>
            </w:r>
          </w:p>
        </w:tc>
      </w:tr>
    </w:tbl>
    <w:p w14:paraId="2ADDC41F" w14:textId="77777777" w:rsidR="0065099C" w:rsidRDefault="0065099C" w:rsidP="00C5356A">
      <w:pPr>
        <w:rPr>
          <w:rFonts w:ascii="Arial" w:hAnsi="Arial" w:cs="Arial"/>
        </w:rPr>
      </w:pPr>
    </w:p>
    <w:p w14:paraId="18B9B101" w14:textId="77777777" w:rsidR="00B67170" w:rsidRDefault="00B67170" w:rsidP="00B67170">
      <w:pPr>
        <w:pBdr>
          <w:bottom w:val="single" w:sz="12" w:space="1" w:color="auto"/>
        </w:pBdr>
        <w:rPr>
          <w:rFonts w:ascii="Arial" w:hAnsi="Arial" w:cs="Arial"/>
        </w:rPr>
      </w:pPr>
    </w:p>
    <w:p w14:paraId="26C841BD" w14:textId="77777777" w:rsidR="00B67170" w:rsidRDefault="00B67170" w:rsidP="00B67170">
      <w:pPr>
        <w:rPr>
          <w:rFonts w:ascii="Arial" w:hAnsi="Arial" w:cs="Arial"/>
        </w:rPr>
      </w:pPr>
    </w:p>
    <w:p w14:paraId="6B8EC959" w14:textId="77777777" w:rsidR="00B67170" w:rsidRDefault="00B67170" w:rsidP="00B67170">
      <w:pPr>
        <w:rPr>
          <w:rFonts w:ascii="Arial" w:hAnsi="Arial" w:cs="Arial"/>
        </w:rPr>
      </w:pPr>
    </w:p>
    <w:p w14:paraId="5FCF456E" w14:textId="77777777" w:rsidR="00B67170" w:rsidRPr="0002074D" w:rsidRDefault="00B67170" w:rsidP="00B67170">
      <w:pPr>
        <w:rPr>
          <w:rFonts w:ascii="Arial" w:hAnsi="Arial" w:cs="Arial"/>
          <w:i/>
          <w:sz w:val="24"/>
        </w:rPr>
      </w:pPr>
      <w:r w:rsidRPr="0002074D">
        <w:rPr>
          <w:rFonts w:ascii="Arial" w:hAnsi="Arial" w:cs="Arial"/>
          <w:i/>
          <w:sz w:val="24"/>
        </w:rPr>
        <w:t>Evidence-Based Interventions: Guidance for CCGs</w:t>
      </w:r>
    </w:p>
    <w:p w14:paraId="2DA76E98" w14:textId="77777777" w:rsidR="00B67170" w:rsidRPr="0002074D" w:rsidRDefault="00B67170" w:rsidP="00B67170">
      <w:pPr>
        <w:rPr>
          <w:rFonts w:ascii="Arial" w:hAnsi="Arial" w:cs="Arial"/>
          <w:i/>
          <w:sz w:val="20"/>
        </w:rPr>
      </w:pPr>
      <w:r w:rsidRPr="0002074D">
        <w:rPr>
          <w:rFonts w:ascii="Arial" w:hAnsi="Arial" w:cs="Arial"/>
          <w:i/>
          <w:sz w:val="20"/>
        </w:rPr>
        <w:t>Published by NHS England in partnership with NHS Clinical Commissioners, the Academy of Medical Royal Colleges, NHS Improvement and the National Institute for Health and Care Excellence</w:t>
      </w:r>
    </w:p>
    <w:p w14:paraId="0B4A8AB3" w14:textId="77777777" w:rsidR="00B67170" w:rsidRPr="0002074D" w:rsidRDefault="00B67170" w:rsidP="00B67170">
      <w:pPr>
        <w:rPr>
          <w:rFonts w:ascii="Arial" w:hAnsi="Arial" w:cs="Arial"/>
          <w:i/>
        </w:rPr>
      </w:pPr>
      <w:r w:rsidRPr="0002074D">
        <w:rPr>
          <w:rFonts w:ascii="Arial" w:hAnsi="Arial" w:cs="Arial"/>
          <w:i/>
        </w:rPr>
        <w:t>Version number: 1</w:t>
      </w:r>
    </w:p>
    <w:p w14:paraId="45B7A176" w14:textId="77777777" w:rsidR="00B67170" w:rsidRPr="0002074D" w:rsidRDefault="00B67170" w:rsidP="00B67170">
      <w:pPr>
        <w:rPr>
          <w:rFonts w:ascii="Arial" w:hAnsi="Arial" w:cs="Arial"/>
          <w:i/>
        </w:rPr>
      </w:pPr>
      <w:r w:rsidRPr="0002074D">
        <w:rPr>
          <w:rFonts w:ascii="Arial" w:hAnsi="Arial" w:cs="Arial"/>
          <w:i/>
        </w:rPr>
        <w:t>First published: 28 November 2018</w:t>
      </w:r>
    </w:p>
    <w:p w14:paraId="30B9FAB1" w14:textId="77777777" w:rsidR="00B67170" w:rsidRPr="0002074D" w:rsidRDefault="00B67170" w:rsidP="00B67170">
      <w:pPr>
        <w:rPr>
          <w:rFonts w:ascii="Arial" w:hAnsi="Arial" w:cs="Arial"/>
          <w:i/>
        </w:rPr>
      </w:pPr>
      <w:r w:rsidRPr="0002074D">
        <w:rPr>
          <w:rFonts w:ascii="Arial" w:hAnsi="Arial" w:cs="Arial"/>
          <w:i/>
        </w:rPr>
        <w:t>Prepared by: NHS England Medical directorate and Strategy and Innovation directorate</w:t>
      </w:r>
    </w:p>
    <w:p w14:paraId="69D3356F" w14:textId="77777777" w:rsidR="00B67170" w:rsidRPr="0002074D" w:rsidRDefault="00B67170" w:rsidP="00B67170">
      <w:pPr>
        <w:rPr>
          <w:rFonts w:ascii="Arial" w:hAnsi="Arial" w:cs="Arial"/>
          <w:i/>
        </w:rPr>
      </w:pPr>
      <w:r w:rsidRPr="0002074D">
        <w:rPr>
          <w:rFonts w:ascii="Arial" w:hAnsi="Arial" w:cs="Arial"/>
          <w:i/>
        </w:rPr>
        <w:t>Classification: OFFICIAL</w:t>
      </w:r>
    </w:p>
    <w:p w14:paraId="66B5DB0F" w14:textId="77777777" w:rsidR="00B67170" w:rsidRPr="0002074D" w:rsidRDefault="00B67170" w:rsidP="00B67170">
      <w:pPr>
        <w:rPr>
          <w:rFonts w:ascii="Arial" w:hAnsi="Arial" w:cs="Arial"/>
          <w:i/>
        </w:rPr>
      </w:pPr>
      <w:r w:rsidRPr="0002074D">
        <w:rPr>
          <w:rFonts w:ascii="Arial" w:hAnsi="Arial" w:cs="Arial"/>
          <w:i/>
        </w:rPr>
        <w:t>NHS England Publications Gateway Reference: 08659</w:t>
      </w:r>
    </w:p>
    <w:p w14:paraId="69A1B254" w14:textId="77777777" w:rsidR="00B67170" w:rsidRPr="00B67170" w:rsidRDefault="00B67170" w:rsidP="00C5356A">
      <w:pPr>
        <w:rPr>
          <w:rFonts w:ascii="Arial" w:hAnsi="Arial" w:cs="Arial"/>
        </w:rPr>
      </w:pPr>
    </w:p>
    <w:sectPr w:rsidR="00B67170" w:rsidRPr="00B67170">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488DD" w14:textId="77777777" w:rsidR="00B67170" w:rsidRDefault="00B67170" w:rsidP="00B67170">
      <w:r>
        <w:separator/>
      </w:r>
    </w:p>
  </w:endnote>
  <w:endnote w:type="continuationSeparator" w:id="0">
    <w:p w14:paraId="36FA0C6A" w14:textId="77777777" w:rsidR="00B67170" w:rsidRDefault="00B67170" w:rsidP="00B67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31F39" w14:textId="77777777" w:rsidR="00B67170" w:rsidRDefault="00B67170" w:rsidP="00B67170">
      <w:r>
        <w:separator/>
      </w:r>
    </w:p>
  </w:footnote>
  <w:footnote w:type="continuationSeparator" w:id="0">
    <w:p w14:paraId="18BF504B" w14:textId="77777777" w:rsidR="00B67170" w:rsidRDefault="00B67170" w:rsidP="00B67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588DE" w14:textId="77777777" w:rsidR="00B67170" w:rsidRDefault="00B67170">
    <w:pPr>
      <w:pStyle w:val="Header"/>
    </w:pPr>
    <w:r w:rsidRPr="00573022">
      <w:rPr>
        <w:noProof/>
        <w:lang w:val="en-GB" w:eastAsia="en-GB"/>
      </w:rPr>
      <w:drawing>
        <wp:inline distT="0" distB="0" distL="0" distR="0" wp14:anchorId="61F805A0" wp14:editId="02FCAEDC">
          <wp:extent cx="3992880" cy="766769"/>
          <wp:effectExtent l="0" t="0" r="7620" b="0"/>
          <wp:docPr id="4" name="Picture 6" descr="Frimley Health and Care logo Final RGB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Frimley Health and Care logo Final RGB HIGH res.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994498" cy="7670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D1E33"/>
    <w:multiLevelType w:val="hybridMultilevel"/>
    <w:tmpl w:val="A48625C0"/>
    <w:lvl w:ilvl="0" w:tplc="7E90F210">
      <w:start w:val="1"/>
      <w:numFmt w:val="decimal"/>
      <w:lvlText w:val="%1."/>
      <w:lvlJc w:val="left"/>
      <w:pPr>
        <w:ind w:left="827" w:hanging="360"/>
        <w:jc w:val="left"/>
      </w:pPr>
      <w:rPr>
        <w:rFonts w:ascii="Times New Roman" w:eastAsia="Times New Roman" w:hAnsi="Times New Roman" w:cs="Times New Roman" w:hint="default"/>
        <w:w w:val="110"/>
        <w:sz w:val="24"/>
        <w:szCs w:val="24"/>
      </w:rPr>
    </w:lvl>
    <w:lvl w:ilvl="1" w:tplc="E2B8343C">
      <w:numFmt w:val="bullet"/>
      <w:lvlText w:val="•"/>
      <w:lvlJc w:val="left"/>
      <w:pPr>
        <w:ind w:left="1642" w:hanging="360"/>
      </w:pPr>
      <w:rPr>
        <w:rFonts w:hint="default"/>
      </w:rPr>
    </w:lvl>
    <w:lvl w:ilvl="2" w:tplc="69463C5C">
      <w:numFmt w:val="bullet"/>
      <w:lvlText w:val="•"/>
      <w:lvlJc w:val="left"/>
      <w:pPr>
        <w:ind w:left="2465" w:hanging="360"/>
      </w:pPr>
      <w:rPr>
        <w:rFonts w:hint="default"/>
      </w:rPr>
    </w:lvl>
    <w:lvl w:ilvl="3" w:tplc="EA323ECA">
      <w:numFmt w:val="bullet"/>
      <w:lvlText w:val="•"/>
      <w:lvlJc w:val="left"/>
      <w:pPr>
        <w:ind w:left="3287" w:hanging="360"/>
      </w:pPr>
      <w:rPr>
        <w:rFonts w:hint="default"/>
      </w:rPr>
    </w:lvl>
    <w:lvl w:ilvl="4" w:tplc="50D0930C">
      <w:numFmt w:val="bullet"/>
      <w:lvlText w:val="•"/>
      <w:lvlJc w:val="left"/>
      <w:pPr>
        <w:ind w:left="4110" w:hanging="360"/>
      </w:pPr>
      <w:rPr>
        <w:rFonts w:hint="default"/>
      </w:rPr>
    </w:lvl>
    <w:lvl w:ilvl="5" w:tplc="97E6FCE2">
      <w:numFmt w:val="bullet"/>
      <w:lvlText w:val="•"/>
      <w:lvlJc w:val="left"/>
      <w:pPr>
        <w:ind w:left="4932" w:hanging="360"/>
      </w:pPr>
      <w:rPr>
        <w:rFonts w:hint="default"/>
      </w:rPr>
    </w:lvl>
    <w:lvl w:ilvl="6" w:tplc="346C7152">
      <w:numFmt w:val="bullet"/>
      <w:lvlText w:val="•"/>
      <w:lvlJc w:val="left"/>
      <w:pPr>
        <w:ind w:left="5755" w:hanging="360"/>
      </w:pPr>
      <w:rPr>
        <w:rFonts w:hint="default"/>
      </w:rPr>
    </w:lvl>
    <w:lvl w:ilvl="7" w:tplc="E39C823A">
      <w:numFmt w:val="bullet"/>
      <w:lvlText w:val="•"/>
      <w:lvlJc w:val="left"/>
      <w:pPr>
        <w:ind w:left="6577" w:hanging="360"/>
      </w:pPr>
      <w:rPr>
        <w:rFonts w:hint="default"/>
      </w:rPr>
    </w:lvl>
    <w:lvl w:ilvl="8" w:tplc="4CE8F1E8">
      <w:numFmt w:val="bullet"/>
      <w:lvlText w:val="•"/>
      <w:lvlJc w:val="left"/>
      <w:pPr>
        <w:ind w:left="7400" w:hanging="360"/>
      </w:pPr>
      <w:rPr>
        <w:rFonts w:hint="default"/>
      </w:rPr>
    </w:lvl>
  </w:abstractNum>
  <w:abstractNum w:abstractNumId="1" w15:restartNumberingAfterBreak="0">
    <w:nsid w:val="693A31B8"/>
    <w:multiLevelType w:val="hybridMultilevel"/>
    <w:tmpl w:val="4AF401EC"/>
    <w:lvl w:ilvl="0" w:tplc="100AB976">
      <w:start w:val="1"/>
      <w:numFmt w:val="upperLetter"/>
      <w:lvlText w:val="%1."/>
      <w:lvlJc w:val="left"/>
      <w:pPr>
        <w:ind w:left="218" w:hanging="310"/>
        <w:jc w:val="left"/>
      </w:pPr>
      <w:rPr>
        <w:rFonts w:ascii="Times New Roman" w:eastAsia="Times New Roman" w:hAnsi="Times New Roman" w:cs="Times New Roman" w:hint="default"/>
        <w:spacing w:val="-6"/>
        <w:w w:val="99"/>
        <w:sz w:val="24"/>
        <w:szCs w:val="24"/>
      </w:rPr>
    </w:lvl>
    <w:lvl w:ilvl="1" w:tplc="891ECDCC">
      <w:numFmt w:val="bullet"/>
      <w:lvlText w:val="•"/>
      <w:lvlJc w:val="left"/>
      <w:pPr>
        <w:ind w:left="1138" w:hanging="310"/>
      </w:pPr>
      <w:rPr>
        <w:rFonts w:hint="default"/>
      </w:rPr>
    </w:lvl>
    <w:lvl w:ilvl="2" w:tplc="C212A108">
      <w:numFmt w:val="bullet"/>
      <w:lvlText w:val="•"/>
      <w:lvlJc w:val="left"/>
      <w:pPr>
        <w:ind w:left="2057" w:hanging="310"/>
      </w:pPr>
      <w:rPr>
        <w:rFonts w:hint="default"/>
      </w:rPr>
    </w:lvl>
    <w:lvl w:ilvl="3" w:tplc="2A7A1890">
      <w:numFmt w:val="bullet"/>
      <w:lvlText w:val="•"/>
      <w:lvlJc w:val="left"/>
      <w:pPr>
        <w:ind w:left="2975" w:hanging="310"/>
      </w:pPr>
      <w:rPr>
        <w:rFonts w:hint="default"/>
      </w:rPr>
    </w:lvl>
    <w:lvl w:ilvl="4" w:tplc="CFAC6E8C">
      <w:numFmt w:val="bullet"/>
      <w:lvlText w:val="•"/>
      <w:lvlJc w:val="left"/>
      <w:pPr>
        <w:ind w:left="3894" w:hanging="310"/>
      </w:pPr>
      <w:rPr>
        <w:rFonts w:hint="default"/>
      </w:rPr>
    </w:lvl>
    <w:lvl w:ilvl="5" w:tplc="535C8206">
      <w:numFmt w:val="bullet"/>
      <w:lvlText w:val="•"/>
      <w:lvlJc w:val="left"/>
      <w:pPr>
        <w:ind w:left="4813" w:hanging="310"/>
      </w:pPr>
      <w:rPr>
        <w:rFonts w:hint="default"/>
      </w:rPr>
    </w:lvl>
    <w:lvl w:ilvl="6" w:tplc="B41C0758">
      <w:numFmt w:val="bullet"/>
      <w:lvlText w:val="•"/>
      <w:lvlJc w:val="left"/>
      <w:pPr>
        <w:ind w:left="5731" w:hanging="310"/>
      </w:pPr>
      <w:rPr>
        <w:rFonts w:hint="default"/>
      </w:rPr>
    </w:lvl>
    <w:lvl w:ilvl="7" w:tplc="0A68A112">
      <w:numFmt w:val="bullet"/>
      <w:lvlText w:val="•"/>
      <w:lvlJc w:val="left"/>
      <w:pPr>
        <w:ind w:left="6650" w:hanging="310"/>
      </w:pPr>
      <w:rPr>
        <w:rFonts w:hint="default"/>
      </w:rPr>
    </w:lvl>
    <w:lvl w:ilvl="8" w:tplc="B6D6E77C">
      <w:numFmt w:val="bullet"/>
      <w:lvlText w:val="•"/>
      <w:lvlJc w:val="left"/>
      <w:pPr>
        <w:ind w:left="7569" w:hanging="310"/>
      </w:pPr>
      <w:rPr>
        <w:rFonts w:hint="default"/>
      </w:rPr>
    </w:lvl>
  </w:abstractNum>
  <w:abstractNum w:abstractNumId="2" w15:restartNumberingAfterBreak="0">
    <w:nsid w:val="71092453"/>
    <w:multiLevelType w:val="hybridMultilevel"/>
    <w:tmpl w:val="9948DC32"/>
    <w:lvl w:ilvl="0" w:tplc="25B622CC">
      <w:numFmt w:val="bullet"/>
      <w:lvlText w:val="□"/>
      <w:lvlJc w:val="left"/>
      <w:pPr>
        <w:ind w:left="827" w:hanging="361"/>
      </w:pPr>
      <w:rPr>
        <w:rFonts w:ascii="Times New Roman" w:eastAsia="Times New Roman" w:hAnsi="Times New Roman" w:cs="Times New Roman" w:hint="default"/>
        <w:w w:val="75"/>
        <w:sz w:val="24"/>
        <w:szCs w:val="24"/>
      </w:rPr>
    </w:lvl>
    <w:lvl w:ilvl="1" w:tplc="69B24B30">
      <w:numFmt w:val="bullet"/>
      <w:lvlText w:val="•"/>
      <w:lvlJc w:val="left"/>
      <w:pPr>
        <w:ind w:left="1642" w:hanging="361"/>
      </w:pPr>
      <w:rPr>
        <w:rFonts w:hint="default"/>
      </w:rPr>
    </w:lvl>
    <w:lvl w:ilvl="2" w:tplc="D5A2616E">
      <w:numFmt w:val="bullet"/>
      <w:lvlText w:val="•"/>
      <w:lvlJc w:val="left"/>
      <w:pPr>
        <w:ind w:left="2465" w:hanging="361"/>
      </w:pPr>
      <w:rPr>
        <w:rFonts w:hint="default"/>
      </w:rPr>
    </w:lvl>
    <w:lvl w:ilvl="3" w:tplc="13EC8EB0">
      <w:numFmt w:val="bullet"/>
      <w:lvlText w:val="•"/>
      <w:lvlJc w:val="left"/>
      <w:pPr>
        <w:ind w:left="3287" w:hanging="361"/>
      </w:pPr>
      <w:rPr>
        <w:rFonts w:hint="default"/>
      </w:rPr>
    </w:lvl>
    <w:lvl w:ilvl="4" w:tplc="5F76BA96">
      <w:numFmt w:val="bullet"/>
      <w:lvlText w:val="•"/>
      <w:lvlJc w:val="left"/>
      <w:pPr>
        <w:ind w:left="4110" w:hanging="361"/>
      </w:pPr>
      <w:rPr>
        <w:rFonts w:hint="default"/>
      </w:rPr>
    </w:lvl>
    <w:lvl w:ilvl="5" w:tplc="7C5EA7DA">
      <w:numFmt w:val="bullet"/>
      <w:lvlText w:val="•"/>
      <w:lvlJc w:val="left"/>
      <w:pPr>
        <w:ind w:left="4932" w:hanging="361"/>
      </w:pPr>
      <w:rPr>
        <w:rFonts w:hint="default"/>
      </w:rPr>
    </w:lvl>
    <w:lvl w:ilvl="6" w:tplc="F2D8CC68">
      <w:numFmt w:val="bullet"/>
      <w:lvlText w:val="•"/>
      <w:lvlJc w:val="left"/>
      <w:pPr>
        <w:ind w:left="5755" w:hanging="361"/>
      </w:pPr>
      <w:rPr>
        <w:rFonts w:hint="default"/>
      </w:rPr>
    </w:lvl>
    <w:lvl w:ilvl="7" w:tplc="56EAB6EC">
      <w:numFmt w:val="bullet"/>
      <w:lvlText w:val="•"/>
      <w:lvlJc w:val="left"/>
      <w:pPr>
        <w:ind w:left="6577" w:hanging="361"/>
      </w:pPr>
      <w:rPr>
        <w:rFonts w:hint="default"/>
      </w:rPr>
    </w:lvl>
    <w:lvl w:ilvl="8" w:tplc="09D0E500">
      <w:numFmt w:val="bullet"/>
      <w:lvlText w:val="•"/>
      <w:lvlJc w:val="left"/>
      <w:pPr>
        <w:ind w:left="7400" w:hanging="361"/>
      </w:pPr>
      <w:rPr>
        <w:rFonts w:hint="default"/>
      </w:rPr>
    </w:lvl>
  </w:abstractNum>
  <w:num w:numId="1" w16cid:durableId="1480069959">
    <w:abstractNumId w:val="0"/>
  </w:num>
  <w:num w:numId="2" w16cid:durableId="868644655">
    <w:abstractNumId w:val="2"/>
  </w:num>
  <w:num w:numId="3" w16cid:durableId="19833834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270E"/>
    <w:rsid w:val="0031399D"/>
    <w:rsid w:val="003B270E"/>
    <w:rsid w:val="0065099C"/>
    <w:rsid w:val="009F7A32"/>
    <w:rsid w:val="00B67170"/>
    <w:rsid w:val="00C5356A"/>
    <w:rsid w:val="00E83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940760"/>
  <w15:docId w15:val="{FEBD85B3-B421-4BEC-A1FB-A797D313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3B270E"/>
    <w:pPr>
      <w:widowControl w:val="0"/>
      <w:autoSpaceDE w:val="0"/>
      <w:autoSpaceDN w:val="0"/>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B270E"/>
    <w:rPr>
      <w:sz w:val="24"/>
      <w:szCs w:val="24"/>
    </w:rPr>
  </w:style>
  <w:style w:type="character" w:customStyle="1" w:styleId="BodyTextChar">
    <w:name w:val="Body Text Char"/>
    <w:basedOn w:val="DefaultParagraphFont"/>
    <w:link w:val="BodyText"/>
    <w:uiPriority w:val="1"/>
    <w:rsid w:val="003B270E"/>
    <w:rPr>
      <w:sz w:val="24"/>
      <w:szCs w:val="24"/>
      <w:lang w:val="en-US" w:eastAsia="en-US"/>
    </w:rPr>
  </w:style>
  <w:style w:type="paragraph" w:styleId="ListParagraph">
    <w:name w:val="List Paragraph"/>
    <w:basedOn w:val="Normal"/>
    <w:uiPriority w:val="1"/>
    <w:qFormat/>
    <w:rsid w:val="003B270E"/>
    <w:pPr>
      <w:ind w:left="645" w:hanging="360"/>
    </w:pPr>
  </w:style>
  <w:style w:type="paragraph" w:customStyle="1" w:styleId="TableParagraph">
    <w:name w:val="Table Paragraph"/>
    <w:basedOn w:val="Normal"/>
    <w:uiPriority w:val="1"/>
    <w:qFormat/>
    <w:rsid w:val="003B270E"/>
  </w:style>
  <w:style w:type="character" w:styleId="Hyperlink">
    <w:name w:val="Hyperlink"/>
    <w:basedOn w:val="DefaultParagraphFont"/>
    <w:rsid w:val="00C5356A"/>
    <w:rPr>
      <w:color w:val="0000FF" w:themeColor="hyperlink"/>
      <w:u w:val="single"/>
    </w:rPr>
  </w:style>
  <w:style w:type="paragraph" w:styleId="Header">
    <w:name w:val="header"/>
    <w:basedOn w:val="Normal"/>
    <w:link w:val="HeaderChar"/>
    <w:uiPriority w:val="99"/>
    <w:rsid w:val="00B67170"/>
    <w:pPr>
      <w:tabs>
        <w:tab w:val="center" w:pos="4513"/>
        <w:tab w:val="right" w:pos="9026"/>
      </w:tabs>
    </w:pPr>
  </w:style>
  <w:style w:type="character" w:customStyle="1" w:styleId="HeaderChar">
    <w:name w:val="Header Char"/>
    <w:basedOn w:val="DefaultParagraphFont"/>
    <w:link w:val="Header"/>
    <w:uiPriority w:val="99"/>
    <w:rsid w:val="00B67170"/>
    <w:rPr>
      <w:sz w:val="22"/>
      <w:szCs w:val="22"/>
      <w:lang w:val="en-US" w:eastAsia="en-US"/>
    </w:rPr>
  </w:style>
  <w:style w:type="paragraph" w:styleId="Footer">
    <w:name w:val="footer"/>
    <w:basedOn w:val="Normal"/>
    <w:link w:val="FooterChar"/>
    <w:rsid w:val="00B67170"/>
    <w:pPr>
      <w:tabs>
        <w:tab w:val="center" w:pos="4513"/>
        <w:tab w:val="right" w:pos="9026"/>
      </w:tabs>
    </w:pPr>
  </w:style>
  <w:style w:type="character" w:customStyle="1" w:styleId="FooterChar">
    <w:name w:val="Footer Char"/>
    <w:basedOn w:val="DefaultParagraphFont"/>
    <w:link w:val="Footer"/>
    <w:rsid w:val="00B67170"/>
    <w:rPr>
      <w:sz w:val="22"/>
      <w:szCs w:val="22"/>
      <w:lang w:val="en-US" w:eastAsia="en-US"/>
    </w:rPr>
  </w:style>
  <w:style w:type="paragraph" w:styleId="BalloonText">
    <w:name w:val="Balloon Text"/>
    <w:basedOn w:val="Normal"/>
    <w:link w:val="BalloonTextChar"/>
    <w:rsid w:val="00B67170"/>
    <w:rPr>
      <w:rFonts w:ascii="Tahoma" w:hAnsi="Tahoma" w:cs="Tahoma"/>
      <w:sz w:val="16"/>
      <w:szCs w:val="16"/>
    </w:rPr>
  </w:style>
  <w:style w:type="character" w:customStyle="1" w:styleId="BalloonTextChar">
    <w:name w:val="Balloon Text Char"/>
    <w:basedOn w:val="DefaultParagraphFont"/>
    <w:link w:val="BalloonText"/>
    <w:rsid w:val="00B6717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sh.ac.uk/_userfiles/pages/files/Patients/Conditions/Elective/ga" TargetMode="External"/><Relationship Id="rId3" Type="http://schemas.openxmlformats.org/officeDocument/2006/relationships/settings" Target="settings.xml"/><Relationship Id="rId7" Type="http://schemas.openxmlformats.org/officeDocument/2006/relationships/hyperlink" Target="https://www.aomrc.org.uk/ebi/wp-content/uploads/2021/05/ebi-statutory-guida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Frimley Park Hospital NHS Foundation Trust</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Hall - Senior Contracts Manager</dc:creator>
  <cp:lastModifiedBy>HALL, Karen (FRIMLEY HEALTH NHS FOUNDATION TRUST)</cp:lastModifiedBy>
  <cp:revision>3</cp:revision>
  <dcterms:created xsi:type="dcterms:W3CDTF">2023-02-22T13:29:00Z</dcterms:created>
  <dcterms:modified xsi:type="dcterms:W3CDTF">2023-02-22T13:30:00Z</dcterms:modified>
</cp:coreProperties>
</file>