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AB39A" w14:textId="55309E6B" w:rsidR="002E1638" w:rsidRPr="00477AD8" w:rsidRDefault="00792C53" w:rsidP="002E1638">
      <w:pPr>
        <w:rPr>
          <w:rFonts w:ascii="Arial" w:hAnsi="Arial" w:cs="Arial"/>
          <w:sz w:val="18"/>
          <w:szCs w:val="18"/>
        </w:rPr>
      </w:pPr>
      <w:r w:rsidRPr="00477AD8">
        <w:rPr>
          <w:rFonts w:ascii="Arial" w:hAnsi="Arial" w:cs="Arial"/>
          <w:i/>
          <w:sz w:val="18"/>
          <w:szCs w:val="18"/>
        </w:rPr>
        <w:t>Extract from the below</w:t>
      </w:r>
      <w:r w:rsidR="002E1638" w:rsidRPr="00477AD8">
        <w:rPr>
          <w:rFonts w:ascii="Arial" w:hAnsi="Arial" w:cs="Arial"/>
          <w:i/>
          <w:sz w:val="18"/>
          <w:szCs w:val="18"/>
        </w:rPr>
        <w:t xml:space="preserve"> named document for ICS Implementation purposes;  </w:t>
      </w:r>
      <w:hyperlink r:id="rId7" w:history="1">
        <w:r w:rsidR="00477AD8" w:rsidRPr="00477AD8">
          <w:rPr>
            <w:rStyle w:val="Hyperlink"/>
            <w:rFonts w:ascii="Arial" w:hAnsi="Arial" w:cs="Arial"/>
            <w:sz w:val="18"/>
            <w:szCs w:val="18"/>
          </w:rPr>
          <w:t>Microsoft Word - EBI consultation response statutory guidance 11 Jan 2019 FINAL v2.0 CLEAN + cover sheet.docx (aomrc.org.uk)</w:t>
        </w:r>
      </w:hyperlink>
    </w:p>
    <w:p w14:paraId="7EA8FB4D" w14:textId="77777777" w:rsidR="002E1638" w:rsidRDefault="002E1638" w:rsidP="002E1638">
      <w:pPr>
        <w:pBdr>
          <w:bottom w:val="single" w:sz="12" w:space="1" w:color="auto"/>
        </w:pBdr>
        <w:rPr>
          <w:rFonts w:ascii="Arial" w:hAnsi="Arial" w:cs="Arial"/>
        </w:rPr>
      </w:pPr>
    </w:p>
    <w:p w14:paraId="33BDA971" w14:textId="77777777" w:rsidR="002E1638" w:rsidRDefault="002E1638" w:rsidP="002E1638">
      <w:pPr>
        <w:rPr>
          <w:rFonts w:ascii="Arial" w:hAnsi="Arial" w:cs="Arial"/>
        </w:rPr>
      </w:pPr>
    </w:p>
    <w:p w14:paraId="0E1A2042" w14:textId="77777777" w:rsidR="000039AE" w:rsidRPr="00477AD8" w:rsidRDefault="00E432C7" w:rsidP="002E1638">
      <w:pPr>
        <w:rPr>
          <w:rFonts w:ascii="Arial" w:hAnsi="Arial" w:cs="Arial"/>
          <w:sz w:val="24"/>
          <w:u w:val="single"/>
        </w:rPr>
      </w:pPr>
      <w:r w:rsidRPr="00477AD8">
        <w:rPr>
          <w:rFonts w:ascii="Arial" w:hAnsi="Arial" w:cs="Arial"/>
          <w:sz w:val="24"/>
          <w:u w:val="single"/>
        </w:rPr>
        <w:t xml:space="preserve">Arthroscopic shoulder decompression for subacromial shoulder pain </w:t>
      </w:r>
    </w:p>
    <w:p w14:paraId="1B542D0A" w14:textId="77777777" w:rsidR="000039AE" w:rsidRPr="00477AD8" w:rsidRDefault="000039AE" w:rsidP="002E1638">
      <w:pPr>
        <w:rPr>
          <w:rFonts w:ascii="Arial" w:hAnsi="Arial" w:cs="Arial"/>
          <w:sz w:val="24"/>
          <w:u w:val="single"/>
        </w:rPr>
      </w:pPr>
    </w:p>
    <w:p w14:paraId="0750A0CB" w14:textId="77777777" w:rsidR="00E432C7" w:rsidRPr="00477AD8" w:rsidRDefault="00E432C7" w:rsidP="002E1638">
      <w:pPr>
        <w:rPr>
          <w:rFonts w:ascii="Arial" w:hAnsi="Arial" w:cs="Arial"/>
          <w:sz w:val="24"/>
          <w:u w:val="single"/>
        </w:rPr>
      </w:pPr>
      <w:r w:rsidRPr="00477AD8">
        <w:rPr>
          <w:rFonts w:ascii="Arial" w:hAnsi="Arial" w:cs="Arial"/>
          <w:sz w:val="24"/>
          <w:u w:val="single"/>
        </w:rPr>
        <w:t>Updated description of the intervention</w:t>
      </w:r>
    </w:p>
    <w:p w14:paraId="3B353C27" w14:textId="77777777" w:rsidR="000039AE" w:rsidRPr="002E1638" w:rsidRDefault="000039AE" w:rsidP="002E1638">
      <w:pPr>
        <w:rPr>
          <w:rFonts w:ascii="Arial" w:hAnsi="Arial" w:cs="Arial"/>
        </w:rPr>
      </w:pPr>
    </w:p>
    <w:p w14:paraId="045164AF" w14:textId="77777777" w:rsidR="00E432C7" w:rsidRPr="002E1638" w:rsidRDefault="00E432C7" w:rsidP="002E1638">
      <w:pPr>
        <w:rPr>
          <w:rFonts w:ascii="Arial" w:hAnsi="Arial" w:cs="Arial"/>
        </w:rPr>
      </w:pPr>
      <w:r w:rsidRPr="002E1638">
        <w:rPr>
          <w:rFonts w:ascii="Arial" w:hAnsi="Arial" w:cs="Arial"/>
        </w:rPr>
        <w:t xml:space="preserve">Recent research has indicated that in patients with pure subacromial impingement (with no other associated diagnoses such as rotator cuff tears, calcific tendinopathy and </w:t>
      </w:r>
      <w:proofErr w:type="spellStart"/>
      <w:r w:rsidRPr="002E1638">
        <w:rPr>
          <w:rFonts w:ascii="Arial" w:hAnsi="Arial" w:cs="Arial"/>
        </w:rPr>
        <w:t>acromio</w:t>
      </w:r>
      <w:proofErr w:type="spellEnd"/>
      <w:r w:rsidRPr="002E1638">
        <w:rPr>
          <w:rFonts w:ascii="Arial" w:hAnsi="Arial" w:cs="Arial"/>
        </w:rPr>
        <w:t>-clavicular joint pain), non-operative management with a combination of exercise and physiotherapy is effective in the majority of cases.</w:t>
      </w:r>
    </w:p>
    <w:p w14:paraId="4190501C" w14:textId="77777777" w:rsidR="00E432C7" w:rsidRPr="002E1638" w:rsidRDefault="00E432C7" w:rsidP="002E1638">
      <w:pPr>
        <w:rPr>
          <w:rFonts w:ascii="Arial" w:hAnsi="Arial" w:cs="Arial"/>
        </w:rPr>
      </w:pPr>
    </w:p>
    <w:p w14:paraId="585E2766" w14:textId="77777777" w:rsidR="00E432C7" w:rsidRPr="002E1638" w:rsidRDefault="00E432C7" w:rsidP="002E1638">
      <w:pPr>
        <w:rPr>
          <w:rFonts w:ascii="Arial" w:hAnsi="Arial" w:cs="Arial"/>
        </w:rPr>
      </w:pPr>
      <w:r w:rsidRPr="002E1638">
        <w:rPr>
          <w:rFonts w:ascii="Arial" w:hAnsi="Arial" w:cs="Arial"/>
        </w:rPr>
        <w:t>Patients suffering with persistent symptoms, despite appropriate non-operative management, should be given the option to choose decompression surgery.</w:t>
      </w:r>
    </w:p>
    <w:p w14:paraId="2F1A5D1B" w14:textId="77777777" w:rsidR="00E432C7" w:rsidRPr="002E1638" w:rsidRDefault="00E432C7" w:rsidP="002E1638">
      <w:pPr>
        <w:rPr>
          <w:rFonts w:ascii="Arial" w:hAnsi="Arial" w:cs="Arial"/>
        </w:rPr>
      </w:pPr>
    </w:p>
    <w:p w14:paraId="2172A19D" w14:textId="77777777" w:rsidR="00E432C7" w:rsidRPr="002E1638" w:rsidRDefault="00E432C7" w:rsidP="002E1638">
      <w:pPr>
        <w:rPr>
          <w:rFonts w:ascii="Arial" w:hAnsi="Arial" w:cs="Arial"/>
        </w:rPr>
      </w:pPr>
      <w:r w:rsidRPr="002E1638">
        <w:rPr>
          <w:rFonts w:ascii="Arial" w:hAnsi="Arial" w:cs="Arial"/>
        </w:rPr>
        <w:t>Treating clinicians and surgeons should refer to the 2015 BESS/BOA/NICE commissioning guidelines (guideline update due in 2018/19) for details of appropriate treatment of these patients. https://</w:t>
      </w:r>
      <w:hyperlink r:id="rId8">
        <w:r w:rsidRPr="002E1638">
          <w:rPr>
            <w:rStyle w:val="Hyperlink"/>
            <w:rFonts w:ascii="Arial" w:hAnsi="Arial" w:cs="Arial"/>
          </w:rPr>
          <w:t>www.boa.ac.uk/wp-</w:t>
        </w:r>
      </w:hyperlink>
      <w:r w:rsidRPr="002E1638">
        <w:rPr>
          <w:rFonts w:ascii="Arial" w:hAnsi="Arial" w:cs="Arial"/>
        </w:rPr>
        <w:t xml:space="preserve"> content/uploads/2014/08/Subacromial-Shoulder-Commissioning-Guide_final.pdf</w:t>
      </w:r>
    </w:p>
    <w:p w14:paraId="45AEBE7B" w14:textId="77777777" w:rsidR="00E432C7" w:rsidRPr="002E1638" w:rsidRDefault="00E432C7" w:rsidP="002E1638">
      <w:pPr>
        <w:rPr>
          <w:rFonts w:ascii="Arial" w:hAnsi="Arial" w:cs="Arial"/>
        </w:rPr>
      </w:pPr>
    </w:p>
    <w:p w14:paraId="5BCE423C" w14:textId="77777777" w:rsidR="00E432C7" w:rsidRPr="002E1638" w:rsidRDefault="00E432C7" w:rsidP="002E1638">
      <w:pPr>
        <w:rPr>
          <w:rFonts w:ascii="Arial" w:hAnsi="Arial" w:cs="Arial"/>
        </w:rPr>
      </w:pPr>
      <w:r w:rsidRPr="002E1638">
        <w:rPr>
          <w:rFonts w:ascii="Arial" w:hAnsi="Arial" w:cs="Arial"/>
        </w:rPr>
        <w:t xml:space="preserve">In order to facilitate non-operative treatment in primary and intermediate care, BESS and Getting It Right First Time </w:t>
      </w:r>
      <w:proofErr w:type="spellStart"/>
      <w:r w:rsidRPr="002E1638">
        <w:rPr>
          <w:rFonts w:ascii="Arial" w:hAnsi="Arial" w:cs="Arial"/>
        </w:rPr>
        <w:t>programme</w:t>
      </w:r>
      <w:proofErr w:type="spellEnd"/>
      <w:r w:rsidRPr="002E1638">
        <w:rPr>
          <w:rFonts w:ascii="Arial" w:hAnsi="Arial" w:cs="Arial"/>
        </w:rPr>
        <w:t xml:space="preserve"> have produced patient exercise rehab videos and booklets for GPs and patients to use. </w:t>
      </w:r>
      <w:hyperlink r:id="rId9">
        <w:r w:rsidRPr="002E1638">
          <w:rPr>
            <w:rStyle w:val="Hyperlink"/>
            <w:rFonts w:ascii="Arial" w:hAnsi="Arial" w:cs="Arial"/>
          </w:rPr>
          <w:t>http://www.bess.org.uk/index.php/public-area/shpi-videos</w:t>
        </w:r>
      </w:hyperlink>
    </w:p>
    <w:p w14:paraId="12CFD190" w14:textId="77777777" w:rsidR="00E432C7" w:rsidRPr="002E1638" w:rsidRDefault="00E432C7" w:rsidP="002E1638">
      <w:pPr>
        <w:rPr>
          <w:rFonts w:ascii="Arial" w:hAnsi="Arial" w:cs="Arial"/>
        </w:rPr>
      </w:pPr>
    </w:p>
    <w:p w14:paraId="49A74C04" w14:textId="77777777" w:rsidR="00E432C7" w:rsidRPr="002E1638" w:rsidRDefault="004E0578" w:rsidP="002E1638">
      <w:pPr>
        <w:rPr>
          <w:rFonts w:ascii="Arial" w:hAnsi="Arial" w:cs="Arial"/>
        </w:rPr>
      </w:pPr>
      <w:r>
        <w:rPr>
          <w:rFonts w:ascii="Arial" w:hAnsi="Arial" w:cs="Arial"/>
        </w:rPr>
        <w:t>Updated clinical criteria</w:t>
      </w:r>
    </w:p>
    <w:p w14:paraId="321C12F7" w14:textId="77777777" w:rsidR="00E432C7" w:rsidRPr="002E1638" w:rsidRDefault="00E432C7" w:rsidP="002E1638">
      <w:pPr>
        <w:rPr>
          <w:rFonts w:ascii="Arial" w:hAnsi="Arial" w:cs="Arial"/>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73"/>
      </w:tblGrid>
      <w:tr w:rsidR="00E432C7" w:rsidRPr="002E1638" w14:paraId="60963267" w14:textId="77777777" w:rsidTr="004E0578">
        <w:trPr>
          <w:trHeight w:val="275"/>
        </w:trPr>
        <w:tc>
          <w:tcPr>
            <w:tcW w:w="9273" w:type="dxa"/>
            <w:shd w:val="clear" w:color="auto" w:fill="16365D"/>
          </w:tcPr>
          <w:p w14:paraId="7A105B94" w14:textId="77777777" w:rsidR="00E432C7" w:rsidRPr="002E1638" w:rsidRDefault="00E432C7" w:rsidP="002E1638">
            <w:pPr>
              <w:rPr>
                <w:rFonts w:ascii="Arial" w:hAnsi="Arial" w:cs="Arial"/>
              </w:rPr>
            </w:pPr>
            <w:r w:rsidRPr="002E1638">
              <w:rPr>
                <w:rFonts w:ascii="Arial" w:hAnsi="Arial" w:cs="Arial"/>
              </w:rPr>
              <w:t>Summary of procedure</w:t>
            </w:r>
          </w:p>
        </w:tc>
      </w:tr>
      <w:tr w:rsidR="00E432C7" w:rsidRPr="002E1638" w14:paraId="2F12F0C0" w14:textId="77777777" w:rsidTr="00477AD8">
        <w:trPr>
          <w:trHeight w:val="652"/>
        </w:trPr>
        <w:tc>
          <w:tcPr>
            <w:tcW w:w="9273" w:type="dxa"/>
          </w:tcPr>
          <w:p w14:paraId="7D187A26" w14:textId="77777777" w:rsidR="00E432C7" w:rsidRPr="002E1638" w:rsidRDefault="00E432C7" w:rsidP="002E1638">
            <w:pPr>
              <w:rPr>
                <w:rFonts w:ascii="Arial" w:hAnsi="Arial" w:cs="Arial"/>
              </w:rPr>
            </w:pPr>
            <w:r w:rsidRPr="002E1638">
              <w:rPr>
                <w:rFonts w:ascii="Arial" w:hAnsi="Arial" w:cs="Arial"/>
              </w:rPr>
              <w:t>Arthroscopic sub-acromial decompression is a surgical procedure that involves decompressing the sub-acromial space by removing bone spurs and soft tissue arthroscopically.</w:t>
            </w:r>
          </w:p>
        </w:tc>
      </w:tr>
      <w:tr w:rsidR="00E432C7" w:rsidRPr="002E1638" w14:paraId="288B9E49" w14:textId="77777777" w:rsidTr="004E0578">
        <w:trPr>
          <w:trHeight w:val="275"/>
        </w:trPr>
        <w:tc>
          <w:tcPr>
            <w:tcW w:w="9273" w:type="dxa"/>
            <w:shd w:val="clear" w:color="auto" w:fill="16365D"/>
          </w:tcPr>
          <w:p w14:paraId="04AAD3CA" w14:textId="77777777" w:rsidR="00E432C7" w:rsidRPr="002E1638" w:rsidRDefault="00E432C7" w:rsidP="002E1638">
            <w:pPr>
              <w:rPr>
                <w:rFonts w:ascii="Arial" w:hAnsi="Arial" w:cs="Arial"/>
              </w:rPr>
            </w:pPr>
            <w:r w:rsidRPr="002E1638">
              <w:rPr>
                <w:rFonts w:ascii="Arial" w:hAnsi="Arial" w:cs="Arial"/>
              </w:rPr>
              <w:t>Number of CCG interventions in 2017/18</w:t>
            </w:r>
          </w:p>
        </w:tc>
      </w:tr>
      <w:tr w:rsidR="00E432C7" w:rsidRPr="002E1638" w14:paraId="45D7CCE7" w14:textId="77777777" w:rsidTr="00477AD8">
        <w:trPr>
          <w:trHeight w:val="283"/>
        </w:trPr>
        <w:tc>
          <w:tcPr>
            <w:tcW w:w="9273" w:type="dxa"/>
          </w:tcPr>
          <w:p w14:paraId="0F442F50" w14:textId="77777777" w:rsidR="00E432C7" w:rsidRPr="002E1638" w:rsidRDefault="00E432C7" w:rsidP="002E1638">
            <w:pPr>
              <w:rPr>
                <w:rFonts w:ascii="Arial" w:hAnsi="Arial" w:cs="Arial"/>
              </w:rPr>
            </w:pPr>
            <w:r w:rsidRPr="002E1638">
              <w:rPr>
                <w:rFonts w:ascii="Arial" w:hAnsi="Arial" w:cs="Arial"/>
              </w:rPr>
              <w:t>13,930</w:t>
            </w:r>
          </w:p>
        </w:tc>
      </w:tr>
      <w:tr w:rsidR="00E432C7" w:rsidRPr="002E1638" w14:paraId="65F1AA8E" w14:textId="77777777" w:rsidTr="004E0578">
        <w:trPr>
          <w:trHeight w:val="275"/>
        </w:trPr>
        <w:tc>
          <w:tcPr>
            <w:tcW w:w="9273" w:type="dxa"/>
            <w:shd w:val="clear" w:color="auto" w:fill="16365D"/>
          </w:tcPr>
          <w:p w14:paraId="02DCA6A5" w14:textId="77777777" w:rsidR="00E432C7" w:rsidRPr="002E1638" w:rsidRDefault="00E432C7" w:rsidP="002E1638">
            <w:pPr>
              <w:rPr>
                <w:rFonts w:ascii="Arial" w:hAnsi="Arial" w:cs="Arial"/>
              </w:rPr>
            </w:pPr>
            <w:r w:rsidRPr="002E1638">
              <w:rPr>
                <w:rFonts w:ascii="Arial" w:hAnsi="Arial" w:cs="Arial"/>
              </w:rPr>
              <w:t>Recommendation</w:t>
            </w:r>
          </w:p>
        </w:tc>
      </w:tr>
      <w:tr w:rsidR="00E432C7" w:rsidRPr="002E1638" w14:paraId="330A2778" w14:textId="77777777" w:rsidTr="00477AD8">
        <w:trPr>
          <w:trHeight w:val="2815"/>
        </w:trPr>
        <w:tc>
          <w:tcPr>
            <w:tcW w:w="9273" w:type="dxa"/>
          </w:tcPr>
          <w:p w14:paraId="032906A6" w14:textId="77777777" w:rsidR="00E432C7" w:rsidRPr="002E1638" w:rsidRDefault="00E432C7" w:rsidP="002E1638">
            <w:pPr>
              <w:rPr>
                <w:rFonts w:ascii="Arial" w:hAnsi="Arial" w:cs="Arial"/>
              </w:rPr>
            </w:pPr>
            <w:r w:rsidRPr="002E1638">
              <w:rPr>
                <w:rFonts w:ascii="Arial" w:hAnsi="Arial" w:cs="Arial"/>
              </w:rPr>
              <w:t xml:space="preserve">Arthroscopic subacromial decompression for pure subacromial shoulder impingement should only offered in appropriate cases. To be clear, ‘pure subacromial shoulder impingement’ means subacromial pain not caused by associated diagnoses such as rotator cuff tears, </w:t>
            </w:r>
            <w:proofErr w:type="spellStart"/>
            <w:r w:rsidRPr="002E1638">
              <w:rPr>
                <w:rFonts w:ascii="Arial" w:hAnsi="Arial" w:cs="Arial"/>
              </w:rPr>
              <w:t>acromio</w:t>
            </w:r>
            <w:proofErr w:type="spellEnd"/>
            <w:r w:rsidRPr="002E1638">
              <w:rPr>
                <w:rFonts w:ascii="Arial" w:hAnsi="Arial" w:cs="Arial"/>
              </w:rPr>
              <w:t xml:space="preserve">-clavicular joint pain, or calcific tendinopathy. Non-operative treatment such as physiotherapy and exercise </w:t>
            </w:r>
            <w:proofErr w:type="spellStart"/>
            <w:r w:rsidRPr="002E1638">
              <w:rPr>
                <w:rFonts w:ascii="Arial" w:hAnsi="Arial" w:cs="Arial"/>
              </w:rPr>
              <w:t>programmes</w:t>
            </w:r>
            <w:proofErr w:type="spellEnd"/>
            <w:r w:rsidRPr="002E1638">
              <w:rPr>
                <w:rFonts w:ascii="Arial" w:hAnsi="Arial" w:cs="Arial"/>
              </w:rPr>
              <w:t xml:space="preserve"> are effective and safe in many cases.</w:t>
            </w:r>
          </w:p>
          <w:p w14:paraId="57F0B87D" w14:textId="77777777" w:rsidR="00E432C7" w:rsidRPr="002E1638" w:rsidRDefault="00E432C7" w:rsidP="002E1638">
            <w:pPr>
              <w:rPr>
                <w:rFonts w:ascii="Arial" w:hAnsi="Arial" w:cs="Arial"/>
              </w:rPr>
            </w:pPr>
          </w:p>
          <w:p w14:paraId="48E2775E" w14:textId="77777777" w:rsidR="00E432C7" w:rsidRPr="002E1638" w:rsidRDefault="00E432C7" w:rsidP="002E1638">
            <w:pPr>
              <w:rPr>
                <w:rFonts w:ascii="Arial" w:hAnsi="Arial" w:cs="Arial"/>
              </w:rPr>
            </w:pPr>
            <w:r w:rsidRPr="002E1638">
              <w:rPr>
                <w:rFonts w:ascii="Arial" w:hAnsi="Arial" w:cs="Arial"/>
              </w:rPr>
              <w:t>For patients who have persistent or progressive symptoms, in spite of adequate non-operative treatment, surgery should be considered. The latest evidence for the potential benefits and risks of subacromial shoulder decompression surgery should be discussed with the patient and a shared decision reached between surgeon and patient as to whether to proceed with surgical intervention.</w:t>
            </w:r>
          </w:p>
        </w:tc>
      </w:tr>
      <w:tr w:rsidR="00E432C7" w:rsidRPr="002E1638" w14:paraId="2F62A5A9" w14:textId="77777777" w:rsidTr="004E0578">
        <w:trPr>
          <w:trHeight w:val="275"/>
        </w:trPr>
        <w:tc>
          <w:tcPr>
            <w:tcW w:w="9273" w:type="dxa"/>
            <w:shd w:val="clear" w:color="auto" w:fill="16365D"/>
          </w:tcPr>
          <w:p w14:paraId="2798E3AA" w14:textId="77777777" w:rsidR="00E432C7" w:rsidRPr="002E1638" w:rsidRDefault="00E432C7" w:rsidP="002E1638">
            <w:pPr>
              <w:rPr>
                <w:rFonts w:ascii="Arial" w:hAnsi="Arial" w:cs="Arial"/>
              </w:rPr>
            </w:pPr>
            <w:r w:rsidRPr="002E1638">
              <w:rPr>
                <w:rFonts w:ascii="Arial" w:hAnsi="Arial" w:cs="Arial"/>
              </w:rPr>
              <w:t>Rationale for recommendation</w:t>
            </w:r>
          </w:p>
        </w:tc>
      </w:tr>
      <w:tr w:rsidR="00E432C7" w:rsidRPr="002E1638" w14:paraId="4185A7E8" w14:textId="77777777" w:rsidTr="004E0578">
        <w:trPr>
          <w:trHeight w:val="1103"/>
        </w:trPr>
        <w:tc>
          <w:tcPr>
            <w:tcW w:w="9273" w:type="dxa"/>
          </w:tcPr>
          <w:p w14:paraId="767A0102" w14:textId="77777777" w:rsidR="00E432C7" w:rsidRPr="002E1638" w:rsidRDefault="00E432C7" w:rsidP="002E1638">
            <w:pPr>
              <w:rPr>
                <w:rFonts w:ascii="Arial" w:hAnsi="Arial" w:cs="Arial"/>
              </w:rPr>
            </w:pPr>
            <w:r w:rsidRPr="002E1638">
              <w:rPr>
                <w:rFonts w:ascii="Arial" w:hAnsi="Arial" w:cs="Arial"/>
              </w:rPr>
              <w:t xml:space="preserve">Recruiting patients with pure subacromial impingement and no other associated diagnosis, a recent </w:t>
            </w:r>
            <w:proofErr w:type="spellStart"/>
            <w:r w:rsidRPr="002E1638">
              <w:rPr>
                <w:rFonts w:ascii="Arial" w:hAnsi="Arial" w:cs="Arial"/>
              </w:rPr>
              <w:t>randomised</w:t>
            </w:r>
            <w:proofErr w:type="spellEnd"/>
            <w:r w:rsidRPr="002E1638">
              <w:rPr>
                <w:rFonts w:ascii="Arial" w:hAnsi="Arial" w:cs="Arial"/>
              </w:rPr>
              <w:t>, pragmatic, parallel group, placebo-controlled trial investigated whether subacromial decompression compared with placebo (arthroscopy only) surger</w:t>
            </w:r>
            <w:r w:rsidR="004E0578">
              <w:rPr>
                <w:rFonts w:ascii="Arial" w:hAnsi="Arial" w:cs="Arial"/>
              </w:rPr>
              <w:t>y improved pain and function</w:t>
            </w:r>
            <w:r w:rsidRPr="002E1638">
              <w:rPr>
                <w:rFonts w:ascii="Arial" w:hAnsi="Arial" w:cs="Arial"/>
              </w:rPr>
              <w:t>. While statistically better</w:t>
            </w:r>
            <w:r w:rsidR="004E0578">
              <w:rPr>
                <w:rFonts w:ascii="Arial" w:hAnsi="Arial" w:cs="Arial"/>
              </w:rPr>
              <w:t xml:space="preserve"> </w:t>
            </w:r>
            <w:r w:rsidR="004E0578" w:rsidRPr="002E1638">
              <w:rPr>
                <w:rFonts w:ascii="Arial" w:hAnsi="Arial" w:cs="Arial"/>
              </w:rPr>
              <w:t>scores were reached by patients who had both types of surgery compared to no surgery, the differences were not clinically significant,</w:t>
            </w:r>
          </w:p>
        </w:tc>
      </w:tr>
    </w:tbl>
    <w:p w14:paraId="3F8744A0" w14:textId="77777777" w:rsidR="00E432C7" w:rsidRPr="002E1638" w:rsidRDefault="00E432C7" w:rsidP="002E1638">
      <w:pPr>
        <w:rPr>
          <w:rFonts w:ascii="Arial" w:hAnsi="Arial" w:cs="Arial"/>
        </w:rPr>
        <w:sectPr w:rsidR="00E432C7" w:rsidRPr="002E1638">
          <w:headerReference w:type="default" r:id="rId10"/>
          <w:pgSz w:w="11910" w:h="16840"/>
          <w:pgMar w:top="1340" w:right="1300" w:bottom="460" w:left="1200" w:header="288" w:footer="275" w:gutter="0"/>
          <w:cols w:space="720"/>
        </w:sectPr>
      </w:pPr>
    </w:p>
    <w:p w14:paraId="436083B1" w14:textId="77777777" w:rsidR="00E432C7" w:rsidRPr="002E1638" w:rsidRDefault="00E432C7" w:rsidP="002E1638">
      <w:pPr>
        <w:rPr>
          <w:rFonts w:ascii="Arial" w:hAnsi="Arial" w:cs="Arial"/>
        </w:rPr>
      </w:pPr>
    </w:p>
    <w:tbl>
      <w:tblPr>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5"/>
      </w:tblGrid>
      <w:tr w:rsidR="00E432C7" w:rsidRPr="002E1638" w14:paraId="6244B580" w14:textId="77777777" w:rsidTr="00477AD8">
        <w:trPr>
          <w:trHeight w:val="5958"/>
        </w:trPr>
        <w:tc>
          <w:tcPr>
            <w:tcW w:w="9215" w:type="dxa"/>
          </w:tcPr>
          <w:p w14:paraId="68A907C6" w14:textId="77777777" w:rsidR="00E432C7" w:rsidRPr="002E1638" w:rsidRDefault="00E432C7" w:rsidP="002E1638">
            <w:pPr>
              <w:rPr>
                <w:rFonts w:ascii="Arial" w:hAnsi="Arial" w:cs="Arial"/>
              </w:rPr>
            </w:pPr>
            <w:r w:rsidRPr="002E1638">
              <w:rPr>
                <w:rFonts w:ascii="Arial" w:hAnsi="Arial" w:cs="Arial"/>
              </w:rPr>
              <w:t>which questions the value of this type of surgery.</w:t>
            </w:r>
          </w:p>
          <w:p w14:paraId="379C150A" w14:textId="77777777" w:rsidR="00E432C7" w:rsidRPr="002E1638" w:rsidRDefault="00E432C7" w:rsidP="002E1638">
            <w:pPr>
              <w:rPr>
                <w:rFonts w:ascii="Arial" w:hAnsi="Arial" w:cs="Arial"/>
              </w:rPr>
            </w:pPr>
          </w:p>
          <w:p w14:paraId="79DFFFDD" w14:textId="77777777" w:rsidR="00E432C7" w:rsidRPr="002E1638" w:rsidRDefault="00E432C7" w:rsidP="002E1638">
            <w:pPr>
              <w:rPr>
                <w:rFonts w:ascii="Arial" w:hAnsi="Arial" w:cs="Arial"/>
              </w:rPr>
            </w:pPr>
            <w:r w:rsidRPr="002E1638">
              <w:rPr>
                <w:rFonts w:ascii="Arial" w:hAnsi="Arial" w:cs="Arial"/>
              </w:rPr>
              <w:t xml:space="preserve">On the other hand, a more recent prospective </w:t>
            </w:r>
            <w:proofErr w:type="spellStart"/>
            <w:r w:rsidRPr="002E1638">
              <w:rPr>
                <w:rFonts w:ascii="Arial" w:hAnsi="Arial" w:cs="Arial"/>
              </w:rPr>
              <w:t>randomised</w:t>
            </w:r>
            <w:proofErr w:type="spellEnd"/>
            <w:r w:rsidRPr="002E1638">
              <w:rPr>
                <w:rFonts w:ascii="Arial" w:hAnsi="Arial" w:cs="Arial"/>
              </w:rPr>
              <w:t xml:space="preserve"> trial comparing the long term outcome (10 year follow up) of surgical or non-surgical treatment of sub acromial impingement showed surgery to be supe</w:t>
            </w:r>
            <w:r w:rsidR="004E0578">
              <w:rPr>
                <w:rFonts w:ascii="Arial" w:hAnsi="Arial" w:cs="Arial"/>
              </w:rPr>
              <w:t>rior to non-surgical treatment.</w:t>
            </w:r>
          </w:p>
          <w:p w14:paraId="2167BC52" w14:textId="77777777" w:rsidR="00E432C7" w:rsidRPr="002E1638" w:rsidRDefault="00E432C7" w:rsidP="002E1638">
            <w:pPr>
              <w:rPr>
                <w:rFonts w:ascii="Arial" w:hAnsi="Arial" w:cs="Arial"/>
              </w:rPr>
            </w:pPr>
          </w:p>
          <w:p w14:paraId="23B05328" w14:textId="77777777" w:rsidR="00E432C7" w:rsidRPr="002E1638" w:rsidRDefault="00E432C7" w:rsidP="002E1638">
            <w:pPr>
              <w:rPr>
                <w:rFonts w:ascii="Arial" w:hAnsi="Arial" w:cs="Arial"/>
              </w:rPr>
            </w:pPr>
            <w:r w:rsidRPr="002E1638">
              <w:rPr>
                <w:rFonts w:ascii="Arial" w:hAnsi="Arial" w:cs="Arial"/>
              </w:rPr>
              <w:t>Other studies of limited quality identify certain patients with impingement syndrome that improve with surgical subacromial decompression if non</w:t>
            </w:r>
            <w:r w:rsidR="004E0578">
              <w:rPr>
                <w:rFonts w:ascii="Arial" w:hAnsi="Arial" w:cs="Arial"/>
              </w:rPr>
              <w:t xml:space="preserve">-operative management fails.  </w:t>
            </w:r>
            <w:r w:rsidRPr="002E1638">
              <w:rPr>
                <w:rFonts w:ascii="Arial" w:hAnsi="Arial" w:cs="Arial"/>
              </w:rPr>
              <w:t>There is also some evidence to show the benefit of surgery when used selectively and applyin</w:t>
            </w:r>
            <w:r w:rsidR="004E0578">
              <w:rPr>
                <w:rFonts w:ascii="Arial" w:hAnsi="Arial" w:cs="Arial"/>
              </w:rPr>
              <w:t>g national clinical guidelines.</w:t>
            </w:r>
          </w:p>
          <w:p w14:paraId="3E72F64E" w14:textId="77777777" w:rsidR="00E432C7" w:rsidRPr="002E1638" w:rsidRDefault="00E432C7" w:rsidP="002E1638">
            <w:pPr>
              <w:rPr>
                <w:rFonts w:ascii="Arial" w:hAnsi="Arial" w:cs="Arial"/>
              </w:rPr>
            </w:pPr>
          </w:p>
          <w:p w14:paraId="5B5FE0D5" w14:textId="77777777" w:rsidR="00E432C7" w:rsidRPr="002E1638" w:rsidRDefault="00E432C7" w:rsidP="002E1638">
            <w:pPr>
              <w:rPr>
                <w:rFonts w:ascii="Arial" w:hAnsi="Arial" w:cs="Arial"/>
              </w:rPr>
            </w:pPr>
            <w:r w:rsidRPr="002E1638">
              <w:rPr>
                <w:rFonts w:ascii="Arial" w:hAnsi="Arial" w:cs="Arial"/>
              </w:rPr>
              <w:t>A review of the literature identified one further systematic review that looked a</w:t>
            </w:r>
            <w:r w:rsidR="004E0578">
              <w:rPr>
                <w:rFonts w:ascii="Arial" w:hAnsi="Arial" w:cs="Arial"/>
              </w:rPr>
              <w:t>t the effectiveness of surgery.</w:t>
            </w:r>
            <w:r w:rsidRPr="002E1638">
              <w:rPr>
                <w:rFonts w:ascii="Arial" w:hAnsi="Arial" w:cs="Arial"/>
              </w:rPr>
              <w:t xml:space="preserve"> The review </w:t>
            </w:r>
            <w:r w:rsidR="004E0578" w:rsidRPr="002E1638">
              <w:rPr>
                <w:rFonts w:ascii="Arial" w:hAnsi="Arial" w:cs="Arial"/>
              </w:rPr>
              <w:t>was limited by</w:t>
            </w:r>
            <w:r w:rsidRPr="002E1638">
              <w:rPr>
                <w:rFonts w:ascii="Arial" w:hAnsi="Arial" w:cs="Arial"/>
              </w:rPr>
              <w:t xml:space="preserve"> the quality </w:t>
            </w:r>
            <w:proofErr w:type="gramStart"/>
            <w:r w:rsidRPr="002E1638">
              <w:rPr>
                <w:rFonts w:ascii="Arial" w:hAnsi="Arial" w:cs="Arial"/>
              </w:rPr>
              <w:t>of  evidence</w:t>
            </w:r>
            <w:proofErr w:type="gramEnd"/>
            <w:r w:rsidRPr="002E1638">
              <w:rPr>
                <w:rFonts w:ascii="Arial" w:hAnsi="Arial" w:cs="Arial"/>
              </w:rPr>
              <w:t xml:space="preserve"> but their findings showed no difference between  patients  treated  with  surgery  and those treated with non-surgical options.</w:t>
            </w:r>
          </w:p>
          <w:p w14:paraId="084124B2" w14:textId="77777777" w:rsidR="00E432C7" w:rsidRPr="002E1638" w:rsidRDefault="00E432C7" w:rsidP="002E1638">
            <w:pPr>
              <w:rPr>
                <w:rFonts w:ascii="Arial" w:hAnsi="Arial" w:cs="Arial"/>
              </w:rPr>
            </w:pPr>
          </w:p>
          <w:p w14:paraId="462987EC" w14:textId="77777777" w:rsidR="00E432C7" w:rsidRPr="002E1638" w:rsidRDefault="00E432C7" w:rsidP="002E1638">
            <w:pPr>
              <w:rPr>
                <w:rFonts w:ascii="Arial" w:hAnsi="Arial" w:cs="Arial"/>
              </w:rPr>
            </w:pPr>
            <w:r w:rsidRPr="002E1638">
              <w:rPr>
                <w:rFonts w:ascii="Arial" w:hAnsi="Arial" w:cs="Arial"/>
              </w:rPr>
              <w:t xml:space="preserve">Healthcare professionals treating patients with subacromial pain should be familiar with the NICE approved commissioning and treatment guidelines for </w:t>
            </w:r>
            <w:r w:rsidR="004E0578" w:rsidRPr="002E1638">
              <w:rPr>
                <w:rFonts w:ascii="Arial" w:hAnsi="Arial" w:cs="Arial"/>
              </w:rPr>
              <w:t>the management</w:t>
            </w:r>
            <w:r w:rsidR="004E0578">
              <w:rPr>
                <w:rFonts w:ascii="Arial" w:hAnsi="Arial" w:cs="Arial"/>
              </w:rPr>
              <w:t xml:space="preserve"> of subacromial pain.</w:t>
            </w:r>
          </w:p>
          <w:p w14:paraId="4250389C" w14:textId="77777777" w:rsidR="00E432C7" w:rsidRPr="002E1638" w:rsidRDefault="00E432C7" w:rsidP="002E1638">
            <w:pPr>
              <w:rPr>
                <w:rFonts w:ascii="Arial" w:hAnsi="Arial" w:cs="Arial"/>
              </w:rPr>
            </w:pPr>
          </w:p>
          <w:p w14:paraId="1A988447" w14:textId="77777777" w:rsidR="00E432C7" w:rsidRPr="002E1638" w:rsidRDefault="00E432C7" w:rsidP="002E1638">
            <w:pPr>
              <w:rPr>
                <w:rFonts w:ascii="Arial" w:hAnsi="Arial" w:cs="Arial"/>
              </w:rPr>
            </w:pPr>
            <w:r w:rsidRPr="002E1638">
              <w:rPr>
                <w:rFonts w:ascii="Arial" w:hAnsi="Arial" w:cs="Arial"/>
              </w:rPr>
              <w:t xml:space="preserve">Risks associated with arthroscopic sub-acromial decompression are low but include infection, frozen shoulder, ongoing pain, potential damage to blood vessels or nerves and those associated with having a general </w:t>
            </w:r>
            <w:proofErr w:type="spellStart"/>
            <w:r w:rsidRPr="002E1638">
              <w:rPr>
                <w:rFonts w:ascii="Arial" w:hAnsi="Arial" w:cs="Arial"/>
              </w:rPr>
              <w:t>anaesthetic</w:t>
            </w:r>
            <w:proofErr w:type="spellEnd"/>
            <w:r w:rsidRPr="002E1638">
              <w:rPr>
                <w:rFonts w:ascii="Arial" w:hAnsi="Arial" w:cs="Arial"/>
              </w:rPr>
              <w:t>.</w:t>
            </w:r>
          </w:p>
          <w:p w14:paraId="681755D5" w14:textId="77777777" w:rsidR="00E432C7" w:rsidRPr="002E1638" w:rsidRDefault="00E432C7" w:rsidP="002E1638">
            <w:pPr>
              <w:rPr>
                <w:rFonts w:ascii="Arial" w:hAnsi="Arial" w:cs="Arial"/>
              </w:rPr>
            </w:pPr>
          </w:p>
        </w:tc>
      </w:tr>
      <w:tr w:rsidR="002E1638" w:rsidRPr="002E1638" w14:paraId="24582410" w14:textId="77777777" w:rsidTr="004E0578">
        <w:trPr>
          <w:trHeight w:val="342"/>
        </w:trPr>
        <w:tc>
          <w:tcPr>
            <w:tcW w:w="9215" w:type="dxa"/>
            <w:shd w:val="clear" w:color="auto" w:fill="244061" w:themeFill="accent1" w:themeFillShade="80"/>
          </w:tcPr>
          <w:p w14:paraId="2856C88A" w14:textId="43221893" w:rsidR="002E1638" w:rsidRPr="002E1638" w:rsidRDefault="002E1638" w:rsidP="00477AD8">
            <w:pPr>
              <w:rPr>
                <w:rFonts w:ascii="Arial" w:hAnsi="Arial" w:cs="Arial"/>
              </w:rPr>
            </w:pPr>
            <w:r w:rsidRPr="002E1638">
              <w:rPr>
                <w:rFonts w:ascii="Arial" w:hAnsi="Arial" w:cs="Arial"/>
              </w:rPr>
              <w:t>References</w:t>
            </w:r>
          </w:p>
        </w:tc>
      </w:tr>
      <w:tr w:rsidR="002E1638" w:rsidRPr="002E1638" w14:paraId="28028ED9" w14:textId="77777777" w:rsidTr="00477AD8">
        <w:trPr>
          <w:trHeight w:val="539"/>
        </w:trPr>
        <w:tc>
          <w:tcPr>
            <w:tcW w:w="9215" w:type="dxa"/>
          </w:tcPr>
          <w:p w14:paraId="646C3531" w14:textId="77777777" w:rsidR="002E1638" w:rsidRPr="00477AD8" w:rsidRDefault="002E1638" w:rsidP="002E1638">
            <w:pPr>
              <w:rPr>
                <w:rFonts w:ascii="Arial" w:hAnsi="Arial" w:cs="Arial"/>
                <w:sz w:val="18"/>
                <w:szCs w:val="18"/>
              </w:rPr>
            </w:pPr>
            <w:r w:rsidRPr="00477AD8">
              <w:rPr>
                <w:rFonts w:ascii="Arial" w:hAnsi="Arial" w:cs="Arial"/>
                <w:sz w:val="18"/>
                <w:szCs w:val="18"/>
              </w:rPr>
              <w:t xml:space="preserve">Beard DJ, Rees </w:t>
            </w:r>
            <w:proofErr w:type="spellStart"/>
            <w:r w:rsidRPr="00477AD8">
              <w:rPr>
                <w:rFonts w:ascii="Arial" w:hAnsi="Arial" w:cs="Arial"/>
                <w:sz w:val="18"/>
                <w:szCs w:val="18"/>
              </w:rPr>
              <w:t>JL</w:t>
            </w:r>
            <w:proofErr w:type="spellEnd"/>
            <w:r w:rsidRPr="00477AD8">
              <w:rPr>
                <w:rFonts w:ascii="Arial" w:hAnsi="Arial" w:cs="Arial"/>
                <w:sz w:val="18"/>
                <w:szCs w:val="18"/>
              </w:rPr>
              <w:t xml:space="preserve">, Cook JA, </w:t>
            </w:r>
            <w:proofErr w:type="spellStart"/>
            <w:r w:rsidRPr="00477AD8">
              <w:rPr>
                <w:rFonts w:ascii="Arial" w:hAnsi="Arial" w:cs="Arial"/>
                <w:sz w:val="18"/>
                <w:szCs w:val="18"/>
              </w:rPr>
              <w:t>Rombach</w:t>
            </w:r>
            <w:proofErr w:type="spellEnd"/>
            <w:r w:rsidRPr="00477AD8">
              <w:rPr>
                <w:rFonts w:ascii="Arial" w:hAnsi="Arial" w:cs="Arial"/>
                <w:sz w:val="18"/>
                <w:szCs w:val="18"/>
              </w:rPr>
              <w:t xml:space="preserve"> I, Cooper C, Merritt N, </w:t>
            </w:r>
            <w:proofErr w:type="spellStart"/>
            <w:r w:rsidRPr="00477AD8">
              <w:rPr>
                <w:rFonts w:ascii="Arial" w:hAnsi="Arial" w:cs="Arial"/>
                <w:sz w:val="18"/>
                <w:szCs w:val="18"/>
              </w:rPr>
              <w:t>Shirkey</w:t>
            </w:r>
            <w:proofErr w:type="spellEnd"/>
            <w:r w:rsidRPr="00477AD8">
              <w:rPr>
                <w:rFonts w:ascii="Arial" w:hAnsi="Arial" w:cs="Arial"/>
                <w:sz w:val="18"/>
                <w:szCs w:val="18"/>
              </w:rPr>
              <w:t xml:space="preserve"> BA, Donovan </w:t>
            </w:r>
            <w:proofErr w:type="spellStart"/>
            <w:r w:rsidRPr="00477AD8">
              <w:rPr>
                <w:rFonts w:ascii="Arial" w:hAnsi="Arial" w:cs="Arial"/>
                <w:sz w:val="18"/>
                <w:szCs w:val="18"/>
              </w:rPr>
              <w:t>JL</w:t>
            </w:r>
            <w:proofErr w:type="spellEnd"/>
            <w:r w:rsidRPr="00477AD8">
              <w:rPr>
                <w:rFonts w:ascii="Arial" w:hAnsi="Arial" w:cs="Arial"/>
                <w:sz w:val="18"/>
                <w:szCs w:val="18"/>
              </w:rPr>
              <w:t xml:space="preserve">, Gwilym S, Savulescu J, Moser J, Gray A, Jepson M, Tracey I, Judge A, </w:t>
            </w:r>
            <w:proofErr w:type="spellStart"/>
            <w:r w:rsidRPr="00477AD8">
              <w:rPr>
                <w:rFonts w:ascii="Arial" w:hAnsi="Arial" w:cs="Arial"/>
                <w:sz w:val="18"/>
                <w:szCs w:val="18"/>
              </w:rPr>
              <w:t>Wartolowska</w:t>
            </w:r>
            <w:proofErr w:type="spellEnd"/>
            <w:r w:rsidRPr="00477AD8">
              <w:rPr>
                <w:rFonts w:ascii="Arial" w:hAnsi="Arial" w:cs="Arial"/>
                <w:sz w:val="18"/>
                <w:szCs w:val="18"/>
              </w:rPr>
              <w:t xml:space="preserve"> K, </w:t>
            </w:r>
            <w:proofErr w:type="spellStart"/>
            <w:r w:rsidRPr="00477AD8">
              <w:rPr>
                <w:rFonts w:ascii="Arial" w:hAnsi="Arial" w:cs="Arial"/>
                <w:sz w:val="18"/>
                <w:szCs w:val="18"/>
              </w:rPr>
              <w:t>Carr</w:t>
            </w:r>
            <w:proofErr w:type="spellEnd"/>
            <w:r w:rsidRPr="00477AD8">
              <w:rPr>
                <w:rFonts w:ascii="Arial" w:hAnsi="Arial" w:cs="Arial"/>
                <w:sz w:val="18"/>
                <w:szCs w:val="18"/>
              </w:rPr>
              <w:t xml:space="preserve"> AJ; CSAW Study Group. Arthroscopic subacromial decompression for subacromial shoulder pain (</w:t>
            </w:r>
            <w:proofErr w:type="spellStart"/>
            <w:r w:rsidRPr="00477AD8">
              <w:rPr>
                <w:rFonts w:ascii="Arial" w:hAnsi="Arial" w:cs="Arial"/>
                <w:sz w:val="18"/>
                <w:szCs w:val="18"/>
              </w:rPr>
              <w:t>CSAW</w:t>
            </w:r>
            <w:proofErr w:type="spellEnd"/>
            <w:r w:rsidRPr="00477AD8">
              <w:rPr>
                <w:rFonts w:ascii="Arial" w:hAnsi="Arial" w:cs="Arial"/>
                <w:sz w:val="18"/>
                <w:szCs w:val="18"/>
              </w:rPr>
              <w:t xml:space="preserve">): a </w:t>
            </w:r>
            <w:proofErr w:type="spellStart"/>
            <w:r w:rsidRPr="00477AD8">
              <w:rPr>
                <w:rFonts w:ascii="Arial" w:hAnsi="Arial" w:cs="Arial"/>
                <w:sz w:val="18"/>
                <w:szCs w:val="18"/>
              </w:rPr>
              <w:t>multicentre</w:t>
            </w:r>
            <w:proofErr w:type="spellEnd"/>
            <w:r w:rsidRPr="00477AD8">
              <w:rPr>
                <w:rFonts w:ascii="Arial" w:hAnsi="Arial" w:cs="Arial"/>
                <w:sz w:val="18"/>
                <w:szCs w:val="18"/>
              </w:rPr>
              <w:t xml:space="preserve">, pragmatic, parallel group, placebo-controlled, three-group, </w:t>
            </w:r>
            <w:proofErr w:type="spellStart"/>
            <w:r w:rsidRPr="00477AD8">
              <w:rPr>
                <w:rFonts w:ascii="Arial" w:hAnsi="Arial" w:cs="Arial"/>
                <w:sz w:val="18"/>
                <w:szCs w:val="18"/>
              </w:rPr>
              <w:t>randomised</w:t>
            </w:r>
            <w:proofErr w:type="spellEnd"/>
            <w:r w:rsidRPr="00477AD8">
              <w:rPr>
                <w:rFonts w:ascii="Arial" w:hAnsi="Arial" w:cs="Arial"/>
                <w:sz w:val="18"/>
                <w:szCs w:val="18"/>
              </w:rPr>
              <w:t xml:space="preserve"> surgical trial. Lancet. 2018 Jan 27;391(10118):329-338. </w:t>
            </w:r>
            <w:proofErr w:type="spellStart"/>
            <w:r w:rsidRPr="00477AD8">
              <w:rPr>
                <w:rFonts w:ascii="Arial" w:hAnsi="Arial" w:cs="Arial"/>
                <w:sz w:val="18"/>
                <w:szCs w:val="18"/>
              </w:rPr>
              <w:t>doi</w:t>
            </w:r>
            <w:proofErr w:type="spellEnd"/>
            <w:r w:rsidRPr="00477AD8">
              <w:rPr>
                <w:rFonts w:ascii="Arial" w:hAnsi="Arial" w:cs="Arial"/>
                <w:sz w:val="18"/>
                <w:szCs w:val="18"/>
              </w:rPr>
              <w:t xml:space="preserve">: 10.1016/S0140-6736(17)32457-1. </w:t>
            </w:r>
            <w:proofErr w:type="spellStart"/>
            <w:r w:rsidRPr="00477AD8">
              <w:rPr>
                <w:rFonts w:ascii="Arial" w:hAnsi="Arial" w:cs="Arial"/>
                <w:sz w:val="18"/>
                <w:szCs w:val="18"/>
              </w:rPr>
              <w:t>Epub</w:t>
            </w:r>
            <w:proofErr w:type="spellEnd"/>
            <w:r w:rsidRPr="00477AD8">
              <w:rPr>
                <w:rFonts w:ascii="Arial" w:hAnsi="Arial" w:cs="Arial"/>
                <w:sz w:val="18"/>
                <w:szCs w:val="18"/>
              </w:rPr>
              <w:t xml:space="preserve"> 2017 Nov 20. PubMed PMID: 29169668; PubMed Central PMCID: PMC5803129.</w:t>
            </w:r>
          </w:p>
          <w:p w14:paraId="264183EA" w14:textId="77777777" w:rsidR="002E1638" w:rsidRPr="00477AD8" w:rsidRDefault="002E1638" w:rsidP="002E1638">
            <w:pPr>
              <w:rPr>
                <w:rFonts w:ascii="Arial" w:hAnsi="Arial" w:cs="Arial"/>
                <w:sz w:val="18"/>
                <w:szCs w:val="18"/>
              </w:rPr>
            </w:pPr>
            <w:proofErr w:type="spellStart"/>
            <w:r w:rsidRPr="00477AD8">
              <w:rPr>
                <w:rFonts w:ascii="Arial" w:hAnsi="Arial" w:cs="Arial"/>
                <w:sz w:val="18"/>
                <w:szCs w:val="18"/>
              </w:rPr>
              <w:t>Dorrestijn</w:t>
            </w:r>
            <w:proofErr w:type="spellEnd"/>
            <w:r w:rsidRPr="00477AD8">
              <w:rPr>
                <w:rFonts w:ascii="Arial" w:hAnsi="Arial" w:cs="Arial"/>
                <w:sz w:val="18"/>
                <w:szCs w:val="18"/>
              </w:rPr>
              <w:t xml:space="preserve"> O, Stevens M, Winters JC, van der Meer K, </w:t>
            </w:r>
            <w:proofErr w:type="spellStart"/>
            <w:r w:rsidRPr="00477AD8">
              <w:rPr>
                <w:rFonts w:ascii="Arial" w:hAnsi="Arial" w:cs="Arial"/>
                <w:sz w:val="18"/>
                <w:szCs w:val="18"/>
              </w:rPr>
              <w:t>Diercks</w:t>
            </w:r>
            <w:proofErr w:type="spellEnd"/>
            <w:r w:rsidRPr="00477AD8">
              <w:rPr>
                <w:rFonts w:ascii="Arial" w:hAnsi="Arial" w:cs="Arial"/>
                <w:sz w:val="18"/>
                <w:szCs w:val="18"/>
              </w:rPr>
              <w:t xml:space="preserve"> </w:t>
            </w:r>
            <w:proofErr w:type="spellStart"/>
            <w:r w:rsidRPr="00477AD8">
              <w:rPr>
                <w:rFonts w:ascii="Arial" w:hAnsi="Arial" w:cs="Arial"/>
                <w:sz w:val="18"/>
                <w:szCs w:val="18"/>
              </w:rPr>
              <w:t>RL</w:t>
            </w:r>
            <w:proofErr w:type="spellEnd"/>
            <w:r w:rsidRPr="00477AD8">
              <w:rPr>
                <w:rFonts w:ascii="Arial" w:hAnsi="Arial" w:cs="Arial"/>
                <w:sz w:val="18"/>
                <w:szCs w:val="18"/>
              </w:rPr>
              <w:t>. Conservative or surgical treatment for subacromial impingement syndrome? A systematic review. J Shoulder Elbow Surg 2009; 18: 652–60.</w:t>
            </w:r>
          </w:p>
          <w:p w14:paraId="3A6E6167" w14:textId="77777777" w:rsidR="002E1638" w:rsidRPr="00477AD8" w:rsidRDefault="002E1638" w:rsidP="002E1638">
            <w:pPr>
              <w:rPr>
                <w:rFonts w:ascii="Arial" w:hAnsi="Arial" w:cs="Arial"/>
                <w:sz w:val="18"/>
                <w:szCs w:val="18"/>
              </w:rPr>
            </w:pPr>
            <w:proofErr w:type="spellStart"/>
            <w:r w:rsidRPr="00477AD8">
              <w:rPr>
                <w:rFonts w:ascii="Arial" w:hAnsi="Arial" w:cs="Arial"/>
                <w:sz w:val="18"/>
                <w:szCs w:val="18"/>
              </w:rPr>
              <w:t>Farfaras</w:t>
            </w:r>
            <w:proofErr w:type="spellEnd"/>
            <w:r w:rsidRPr="00477AD8">
              <w:rPr>
                <w:rFonts w:ascii="Arial" w:hAnsi="Arial" w:cs="Arial"/>
                <w:sz w:val="18"/>
                <w:szCs w:val="18"/>
              </w:rPr>
              <w:t xml:space="preserve"> S, </w:t>
            </w:r>
            <w:proofErr w:type="spellStart"/>
            <w:r w:rsidRPr="00477AD8">
              <w:rPr>
                <w:rFonts w:ascii="Arial" w:hAnsi="Arial" w:cs="Arial"/>
                <w:sz w:val="18"/>
                <w:szCs w:val="18"/>
              </w:rPr>
              <w:t>Sernert</w:t>
            </w:r>
            <w:proofErr w:type="spellEnd"/>
            <w:r w:rsidRPr="00477AD8">
              <w:rPr>
                <w:rFonts w:ascii="Arial" w:hAnsi="Arial" w:cs="Arial"/>
                <w:sz w:val="18"/>
                <w:szCs w:val="18"/>
              </w:rPr>
              <w:t xml:space="preserve"> N, </w:t>
            </w:r>
            <w:proofErr w:type="spellStart"/>
            <w:r w:rsidRPr="00477AD8">
              <w:rPr>
                <w:rFonts w:ascii="Arial" w:hAnsi="Arial" w:cs="Arial"/>
                <w:sz w:val="18"/>
                <w:szCs w:val="18"/>
              </w:rPr>
              <w:t>Rostgard</w:t>
            </w:r>
            <w:proofErr w:type="spellEnd"/>
            <w:r w:rsidRPr="00477AD8">
              <w:rPr>
                <w:rFonts w:ascii="Arial" w:hAnsi="Arial" w:cs="Arial"/>
                <w:sz w:val="18"/>
                <w:szCs w:val="18"/>
              </w:rPr>
              <w:t xml:space="preserve"> Christensen L, Hallström EK, </w:t>
            </w:r>
            <w:proofErr w:type="spellStart"/>
            <w:r w:rsidRPr="00477AD8">
              <w:rPr>
                <w:rFonts w:ascii="Arial" w:hAnsi="Arial" w:cs="Arial"/>
                <w:sz w:val="18"/>
                <w:szCs w:val="18"/>
              </w:rPr>
              <w:t>Kartus</w:t>
            </w:r>
            <w:proofErr w:type="spellEnd"/>
            <w:r w:rsidRPr="00477AD8">
              <w:rPr>
                <w:rFonts w:ascii="Arial" w:hAnsi="Arial" w:cs="Arial"/>
                <w:sz w:val="18"/>
                <w:szCs w:val="18"/>
              </w:rPr>
              <w:t xml:space="preserve"> JT. Subacromial Decompression Yields a Better Clinical Outcome Than Therapy Alone: A Prospective Randomized Study of Patients With a Minimum 10-Year Follow-up. Am J Sports Med. 2018 May;46(6):1397-1407</w:t>
            </w:r>
          </w:p>
          <w:p w14:paraId="379B8B81" w14:textId="77777777" w:rsidR="002E1638" w:rsidRPr="00477AD8" w:rsidRDefault="002E1638" w:rsidP="002E1638">
            <w:pPr>
              <w:rPr>
                <w:rFonts w:ascii="Arial" w:hAnsi="Arial" w:cs="Arial"/>
                <w:sz w:val="18"/>
                <w:szCs w:val="18"/>
              </w:rPr>
            </w:pPr>
            <w:r w:rsidRPr="00477AD8">
              <w:rPr>
                <w:rFonts w:ascii="Arial" w:hAnsi="Arial" w:cs="Arial"/>
                <w:sz w:val="18"/>
                <w:szCs w:val="18"/>
              </w:rPr>
              <w:t xml:space="preserve">Holmgren T, </w:t>
            </w:r>
            <w:proofErr w:type="spellStart"/>
            <w:r w:rsidRPr="00477AD8">
              <w:rPr>
                <w:rFonts w:ascii="Arial" w:hAnsi="Arial" w:cs="Arial"/>
                <w:sz w:val="18"/>
                <w:szCs w:val="18"/>
              </w:rPr>
              <w:t>Björnsson</w:t>
            </w:r>
            <w:proofErr w:type="spellEnd"/>
            <w:r w:rsidRPr="00477AD8">
              <w:rPr>
                <w:rFonts w:ascii="Arial" w:hAnsi="Arial" w:cs="Arial"/>
                <w:sz w:val="18"/>
                <w:szCs w:val="18"/>
              </w:rPr>
              <w:t xml:space="preserve"> </w:t>
            </w:r>
            <w:proofErr w:type="spellStart"/>
            <w:r w:rsidRPr="00477AD8">
              <w:rPr>
                <w:rFonts w:ascii="Arial" w:hAnsi="Arial" w:cs="Arial"/>
                <w:sz w:val="18"/>
                <w:szCs w:val="18"/>
              </w:rPr>
              <w:t>Hallgren</w:t>
            </w:r>
            <w:proofErr w:type="spellEnd"/>
            <w:r w:rsidRPr="00477AD8">
              <w:rPr>
                <w:rFonts w:ascii="Arial" w:hAnsi="Arial" w:cs="Arial"/>
                <w:sz w:val="18"/>
                <w:szCs w:val="18"/>
              </w:rPr>
              <w:t xml:space="preserve"> H, </w:t>
            </w:r>
            <w:proofErr w:type="spellStart"/>
            <w:r w:rsidRPr="00477AD8">
              <w:rPr>
                <w:rFonts w:ascii="Arial" w:hAnsi="Arial" w:cs="Arial"/>
                <w:sz w:val="18"/>
                <w:szCs w:val="18"/>
              </w:rPr>
              <w:t>Öberg</w:t>
            </w:r>
            <w:proofErr w:type="spellEnd"/>
            <w:r w:rsidRPr="00477AD8">
              <w:rPr>
                <w:rFonts w:ascii="Arial" w:hAnsi="Arial" w:cs="Arial"/>
                <w:sz w:val="18"/>
                <w:szCs w:val="18"/>
              </w:rPr>
              <w:t xml:space="preserve"> B, </w:t>
            </w:r>
            <w:proofErr w:type="spellStart"/>
            <w:r w:rsidRPr="00477AD8">
              <w:rPr>
                <w:rFonts w:ascii="Arial" w:hAnsi="Arial" w:cs="Arial"/>
                <w:sz w:val="18"/>
                <w:szCs w:val="18"/>
              </w:rPr>
              <w:t>Adolfsson</w:t>
            </w:r>
            <w:proofErr w:type="spellEnd"/>
            <w:r w:rsidRPr="00477AD8">
              <w:rPr>
                <w:rFonts w:ascii="Arial" w:hAnsi="Arial" w:cs="Arial"/>
                <w:sz w:val="18"/>
                <w:szCs w:val="18"/>
              </w:rPr>
              <w:t xml:space="preserve"> L, Johansson K. Effect of specific exercise strategy on need for surgery in patients with subacromial impingement syndrome: </w:t>
            </w:r>
            <w:proofErr w:type="spellStart"/>
            <w:r w:rsidRPr="00477AD8">
              <w:rPr>
                <w:rFonts w:ascii="Arial" w:hAnsi="Arial" w:cs="Arial"/>
                <w:sz w:val="18"/>
                <w:szCs w:val="18"/>
              </w:rPr>
              <w:t>randomised</w:t>
            </w:r>
            <w:proofErr w:type="spellEnd"/>
            <w:r w:rsidRPr="00477AD8">
              <w:rPr>
                <w:rFonts w:ascii="Arial" w:hAnsi="Arial" w:cs="Arial"/>
                <w:sz w:val="18"/>
                <w:szCs w:val="18"/>
              </w:rPr>
              <w:t xml:space="preserve"> controlled study. BMJ. 2012 Feb 20;</w:t>
            </w:r>
            <w:proofErr w:type="gramStart"/>
            <w:r w:rsidRPr="00477AD8">
              <w:rPr>
                <w:rFonts w:ascii="Arial" w:hAnsi="Arial" w:cs="Arial"/>
                <w:sz w:val="18"/>
                <w:szCs w:val="18"/>
              </w:rPr>
              <w:t>344:e</w:t>
            </w:r>
            <w:proofErr w:type="gramEnd"/>
            <w:r w:rsidRPr="00477AD8">
              <w:rPr>
                <w:rFonts w:ascii="Arial" w:hAnsi="Arial" w:cs="Arial"/>
                <w:sz w:val="18"/>
                <w:szCs w:val="18"/>
              </w:rPr>
              <w:t xml:space="preserve">787. </w:t>
            </w:r>
            <w:proofErr w:type="spellStart"/>
            <w:r w:rsidRPr="00477AD8">
              <w:rPr>
                <w:rFonts w:ascii="Arial" w:hAnsi="Arial" w:cs="Arial"/>
                <w:sz w:val="18"/>
                <w:szCs w:val="18"/>
              </w:rPr>
              <w:t>doi</w:t>
            </w:r>
            <w:proofErr w:type="spellEnd"/>
            <w:r w:rsidRPr="00477AD8">
              <w:rPr>
                <w:rFonts w:ascii="Arial" w:hAnsi="Arial" w:cs="Arial"/>
                <w:sz w:val="18"/>
                <w:szCs w:val="18"/>
              </w:rPr>
              <w:t>: 10.1136/bmj.e787</w:t>
            </w:r>
          </w:p>
          <w:p w14:paraId="65439A98" w14:textId="77777777" w:rsidR="002E1638" w:rsidRPr="00477AD8" w:rsidRDefault="002E1638" w:rsidP="002E1638">
            <w:pPr>
              <w:rPr>
                <w:rFonts w:ascii="Arial" w:hAnsi="Arial" w:cs="Arial"/>
                <w:sz w:val="18"/>
                <w:szCs w:val="18"/>
              </w:rPr>
            </w:pPr>
            <w:proofErr w:type="spellStart"/>
            <w:r w:rsidRPr="00477AD8">
              <w:rPr>
                <w:rFonts w:ascii="Arial" w:hAnsi="Arial" w:cs="Arial"/>
                <w:sz w:val="18"/>
                <w:szCs w:val="18"/>
              </w:rPr>
              <w:t>Magaji</w:t>
            </w:r>
            <w:proofErr w:type="spellEnd"/>
            <w:r w:rsidRPr="00477AD8">
              <w:rPr>
                <w:rFonts w:ascii="Arial" w:hAnsi="Arial" w:cs="Arial"/>
                <w:sz w:val="18"/>
                <w:szCs w:val="18"/>
              </w:rPr>
              <w:t xml:space="preserve"> SA, </w:t>
            </w:r>
            <w:proofErr w:type="gramStart"/>
            <w:r w:rsidRPr="00477AD8">
              <w:rPr>
                <w:rFonts w:ascii="Arial" w:hAnsi="Arial" w:cs="Arial"/>
                <w:sz w:val="18"/>
                <w:szCs w:val="18"/>
              </w:rPr>
              <w:t>Singh  HP</w:t>
            </w:r>
            <w:proofErr w:type="gramEnd"/>
            <w:r w:rsidRPr="00477AD8">
              <w:rPr>
                <w:rFonts w:ascii="Arial" w:hAnsi="Arial" w:cs="Arial"/>
                <w:sz w:val="18"/>
                <w:szCs w:val="18"/>
              </w:rPr>
              <w:t xml:space="preserve">, Pandey </w:t>
            </w:r>
            <w:proofErr w:type="spellStart"/>
            <w:r w:rsidRPr="00477AD8">
              <w:rPr>
                <w:rFonts w:ascii="Arial" w:hAnsi="Arial" w:cs="Arial"/>
                <w:sz w:val="18"/>
                <w:szCs w:val="18"/>
              </w:rPr>
              <w:t>RK</w:t>
            </w:r>
            <w:proofErr w:type="spellEnd"/>
            <w:r w:rsidRPr="00477AD8">
              <w:rPr>
                <w:rFonts w:ascii="Arial" w:hAnsi="Arial" w:cs="Arial"/>
                <w:sz w:val="18"/>
                <w:szCs w:val="18"/>
              </w:rPr>
              <w:t xml:space="preserve">. Arthroscopic subacromial </w:t>
            </w:r>
            <w:proofErr w:type="gramStart"/>
            <w:r w:rsidRPr="00477AD8">
              <w:rPr>
                <w:rFonts w:ascii="Arial" w:hAnsi="Arial" w:cs="Arial"/>
                <w:sz w:val="18"/>
                <w:szCs w:val="18"/>
              </w:rPr>
              <w:t>decompression  is</w:t>
            </w:r>
            <w:proofErr w:type="gramEnd"/>
            <w:r w:rsidRPr="00477AD8">
              <w:rPr>
                <w:rFonts w:ascii="Arial" w:hAnsi="Arial" w:cs="Arial"/>
                <w:sz w:val="18"/>
                <w:szCs w:val="18"/>
              </w:rPr>
              <w:t xml:space="preserve"> effective in selected patients  with  shoulder  impingement  syndrome.  J Bone Joint Surg Br. 2012 Aug;94(8):1086-9</w:t>
            </w:r>
          </w:p>
          <w:p w14:paraId="6D8EA50A" w14:textId="77777777" w:rsidR="002E1638" w:rsidRPr="00477AD8" w:rsidRDefault="002E1638" w:rsidP="002E1638">
            <w:pPr>
              <w:rPr>
                <w:rFonts w:ascii="Arial" w:hAnsi="Arial" w:cs="Arial"/>
                <w:sz w:val="18"/>
                <w:szCs w:val="18"/>
              </w:rPr>
            </w:pPr>
            <w:r w:rsidRPr="00477AD8">
              <w:rPr>
                <w:rFonts w:ascii="Arial" w:hAnsi="Arial" w:cs="Arial"/>
                <w:sz w:val="18"/>
                <w:szCs w:val="18"/>
              </w:rPr>
              <w:t xml:space="preserve">Jacobsen JR, Jensen CM, </w:t>
            </w:r>
            <w:proofErr w:type="spellStart"/>
            <w:r w:rsidRPr="00477AD8">
              <w:rPr>
                <w:rFonts w:ascii="Arial" w:hAnsi="Arial" w:cs="Arial"/>
                <w:sz w:val="18"/>
                <w:szCs w:val="18"/>
              </w:rPr>
              <w:t>Deutch</w:t>
            </w:r>
            <w:proofErr w:type="spellEnd"/>
            <w:r w:rsidRPr="00477AD8">
              <w:rPr>
                <w:rFonts w:ascii="Arial" w:hAnsi="Arial" w:cs="Arial"/>
                <w:sz w:val="18"/>
                <w:szCs w:val="18"/>
              </w:rPr>
              <w:t xml:space="preserve"> SR. Acromioplasty in patients selected for operation by national guidelines. J Shoulder Elbow Surg. 2017 Oct;26(10):1854-1861.</w:t>
            </w:r>
          </w:p>
          <w:p w14:paraId="145E5916" w14:textId="77777777" w:rsidR="002E1638" w:rsidRPr="00477AD8" w:rsidRDefault="002E1638" w:rsidP="002E1638">
            <w:pPr>
              <w:rPr>
                <w:rFonts w:ascii="Arial" w:hAnsi="Arial" w:cs="Arial"/>
                <w:sz w:val="18"/>
                <w:szCs w:val="18"/>
              </w:rPr>
            </w:pPr>
            <w:r w:rsidRPr="00477AD8">
              <w:rPr>
                <w:rFonts w:ascii="Arial" w:hAnsi="Arial" w:cs="Arial"/>
                <w:sz w:val="18"/>
                <w:szCs w:val="18"/>
              </w:rPr>
              <w:t>https://</w:t>
            </w:r>
            <w:hyperlink r:id="rId11">
              <w:r w:rsidRPr="00477AD8">
                <w:rPr>
                  <w:rStyle w:val="Hyperlink"/>
                  <w:rFonts w:ascii="Arial" w:hAnsi="Arial" w:cs="Arial"/>
                  <w:sz w:val="18"/>
                  <w:szCs w:val="18"/>
                </w:rPr>
                <w:t>www.boa.ac.uk/wp-content/uploads/2014/08/Subacromial-Shoulder-</w:t>
              </w:r>
            </w:hyperlink>
            <w:r w:rsidRPr="00477AD8">
              <w:rPr>
                <w:rFonts w:ascii="Arial" w:hAnsi="Arial" w:cs="Arial"/>
                <w:sz w:val="18"/>
                <w:szCs w:val="18"/>
              </w:rPr>
              <w:t xml:space="preserve"> Commissioning-Guide_final.pdf</w:t>
            </w:r>
          </w:p>
          <w:p w14:paraId="539C2349" w14:textId="77777777" w:rsidR="002E1638" w:rsidRPr="002E1638" w:rsidRDefault="002E1638" w:rsidP="002E1638">
            <w:pPr>
              <w:rPr>
                <w:rFonts w:ascii="Arial" w:hAnsi="Arial" w:cs="Arial"/>
              </w:rPr>
            </w:pPr>
          </w:p>
        </w:tc>
      </w:tr>
    </w:tbl>
    <w:p w14:paraId="052EE0D2" w14:textId="77777777" w:rsidR="0065099C" w:rsidRDefault="0065099C" w:rsidP="002E1638">
      <w:pPr>
        <w:rPr>
          <w:rFonts w:ascii="Arial" w:hAnsi="Arial" w:cs="Arial"/>
        </w:rPr>
      </w:pPr>
    </w:p>
    <w:p w14:paraId="72737E6D" w14:textId="77777777" w:rsidR="002E1638" w:rsidRPr="00477AD8" w:rsidRDefault="002E1638" w:rsidP="002E1638">
      <w:pPr>
        <w:rPr>
          <w:rFonts w:ascii="Arial" w:hAnsi="Arial" w:cs="Arial"/>
          <w:i/>
          <w:sz w:val="20"/>
          <w:szCs w:val="18"/>
        </w:rPr>
      </w:pPr>
      <w:r w:rsidRPr="00477AD8">
        <w:rPr>
          <w:rFonts w:ascii="Arial" w:hAnsi="Arial" w:cs="Arial"/>
          <w:i/>
          <w:sz w:val="20"/>
          <w:szCs w:val="18"/>
        </w:rPr>
        <w:t>Evidence-Based Interventions: Guidance for CCGs</w:t>
      </w:r>
    </w:p>
    <w:p w14:paraId="53C606E5" w14:textId="77777777" w:rsidR="002E1638" w:rsidRPr="00477AD8" w:rsidRDefault="002E1638" w:rsidP="002E1638">
      <w:pPr>
        <w:rPr>
          <w:rFonts w:ascii="Arial" w:hAnsi="Arial" w:cs="Arial"/>
          <w:i/>
          <w:sz w:val="16"/>
          <w:szCs w:val="18"/>
        </w:rPr>
      </w:pPr>
      <w:r w:rsidRPr="00477AD8">
        <w:rPr>
          <w:rFonts w:ascii="Arial" w:hAnsi="Arial" w:cs="Arial"/>
          <w:i/>
          <w:sz w:val="16"/>
          <w:szCs w:val="18"/>
        </w:rPr>
        <w:t>Published by NHS England in partnership with NHS Clinical Commissioners, the Academy of Medical Royal Colleges, NHS Improvement and the National Institute for Health and Care Excellence</w:t>
      </w:r>
    </w:p>
    <w:p w14:paraId="6F035D39" w14:textId="77777777" w:rsidR="002E1638" w:rsidRPr="00477AD8" w:rsidRDefault="002E1638" w:rsidP="002E1638">
      <w:pPr>
        <w:rPr>
          <w:rFonts w:ascii="Arial" w:hAnsi="Arial" w:cs="Arial"/>
          <w:i/>
          <w:sz w:val="18"/>
          <w:szCs w:val="18"/>
        </w:rPr>
      </w:pPr>
      <w:r w:rsidRPr="00477AD8">
        <w:rPr>
          <w:rFonts w:ascii="Arial" w:hAnsi="Arial" w:cs="Arial"/>
          <w:i/>
          <w:sz w:val="18"/>
          <w:szCs w:val="18"/>
        </w:rPr>
        <w:t>Version number: 1</w:t>
      </w:r>
    </w:p>
    <w:p w14:paraId="6F1C5255" w14:textId="77777777" w:rsidR="002E1638" w:rsidRPr="00477AD8" w:rsidRDefault="002E1638" w:rsidP="002E1638">
      <w:pPr>
        <w:rPr>
          <w:rFonts w:ascii="Arial" w:hAnsi="Arial" w:cs="Arial"/>
          <w:i/>
          <w:sz w:val="18"/>
          <w:szCs w:val="18"/>
        </w:rPr>
      </w:pPr>
      <w:r w:rsidRPr="00477AD8">
        <w:rPr>
          <w:rFonts w:ascii="Arial" w:hAnsi="Arial" w:cs="Arial"/>
          <w:i/>
          <w:sz w:val="18"/>
          <w:szCs w:val="18"/>
        </w:rPr>
        <w:t>First published: 28 November 2018</w:t>
      </w:r>
    </w:p>
    <w:p w14:paraId="2C8F862F" w14:textId="77777777" w:rsidR="002E1638" w:rsidRPr="00477AD8" w:rsidRDefault="002E1638" w:rsidP="002E1638">
      <w:pPr>
        <w:rPr>
          <w:rFonts w:ascii="Arial" w:hAnsi="Arial" w:cs="Arial"/>
          <w:i/>
          <w:sz w:val="18"/>
          <w:szCs w:val="18"/>
        </w:rPr>
      </w:pPr>
      <w:r w:rsidRPr="00477AD8">
        <w:rPr>
          <w:rFonts w:ascii="Arial" w:hAnsi="Arial" w:cs="Arial"/>
          <w:i/>
          <w:sz w:val="18"/>
          <w:szCs w:val="18"/>
        </w:rPr>
        <w:t>Prepared by: NHS England Medical directorate and Strategy and Innovation directorate</w:t>
      </w:r>
    </w:p>
    <w:p w14:paraId="191B83EE" w14:textId="77777777" w:rsidR="002E1638" w:rsidRPr="00477AD8" w:rsidRDefault="002E1638" w:rsidP="002E1638">
      <w:pPr>
        <w:rPr>
          <w:rFonts w:ascii="Arial" w:hAnsi="Arial" w:cs="Arial"/>
          <w:i/>
          <w:sz w:val="18"/>
          <w:szCs w:val="18"/>
        </w:rPr>
      </w:pPr>
      <w:r w:rsidRPr="00477AD8">
        <w:rPr>
          <w:rFonts w:ascii="Arial" w:hAnsi="Arial" w:cs="Arial"/>
          <w:i/>
          <w:sz w:val="18"/>
          <w:szCs w:val="18"/>
        </w:rPr>
        <w:t>Classification: OFFICIAL</w:t>
      </w:r>
    </w:p>
    <w:p w14:paraId="4FA1068B" w14:textId="77777777" w:rsidR="002E1638" w:rsidRPr="00477AD8" w:rsidRDefault="002E1638" w:rsidP="002E1638">
      <w:pPr>
        <w:rPr>
          <w:rFonts w:ascii="Arial" w:hAnsi="Arial" w:cs="Arial"/>
          <w:i/>
          <w:sz w:val="18"/>
          <w:szCs w:val="18"/>
        </w:rPr>
      </w:pPr>
      <w:r w:rsidRPr="00477AD8">
        <w:rPr>
          <w:rFonts w:ascii="Arial" w:hAnsi="Arial" w:cs="Arial"/>
          <w:i/>
          <w:sz w:val="18"/>
          <w:szCs w:val="18"/>
        </w:rPr>
        <w:t>NHS England Publications Gateway Reference: 08659</w:t>
      </w:r>
    </w:p>
    <w:p w14:paraId="6F84EE77" w14:textId="77777777" w:rsidR="002E1638" w:rsidRPr="002E1638" w:rsidRDefault="002E1638" w:rsidP="002E1638">
      <w:pPr>
        <w:rPr>
          <w:rFonts w:ascii="Arial" w:hAnsi="Arial" w:cs="Arial"/>
        </w:rPr>
      </w:pPr>
    </w:p>
    <w:sectPr w:rsidR="002E1638" w:rsidRPr="002E1638" w:rsidSect="00477AD8">
      <w:pgSz w:w="12240" w:h="15840"/>
      <w:pgMar w:top="1440" w:right="1800" w:bottom="28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A57FB" w14:textId="77777777" w:rsidR="002E1638" w:rsidRDefault="002E1638" w:rsidP="002E1638">
      <w:r>
        <w:separator/>
      </w:r>
    </w:p>
  </w:endnote>
  <w:endnote w:type="continuationSeparator" w:id="0">
    <w:p w14:paraId="65A641D9" w14:textId="77777777" w:rsidR="002E1638" w:rsidRDefault="002E1638" w:rsidP="002E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D419E" w14:textId="77777777" w:rsidR="002E1638" w:rsidRDefault="002E1638" w:rsidP="002E1638">
      <w:r>
        <w:separator/>
      </w:r>
    </w:p>
  </w:footnote>
  <w:footnote w:type="continuationSeparator" w:id="0">
    <w:p w14:paraId="10EE8A5A" w14:textId="77777777" w:rsidR="002E1638" w:rsidRDefault="002E1638" w:rsidP="002E1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45B8" w14:textId="77777777" w:rsidR="002E1638" w:rsidRDefault="002E1638">
    <w:pPr>
      <w:pStyle w:val="Header"/>
    </w:pPr>
    <w:r w:rsidRPr="00573022">
      <w:rPr>
        <w:noProof/>
        <w:lang w:val="en-GB" w:eastAsia="en-GB"/>
      </w:rPr>
      <w:drawing>
        <wp:inline distT="0" distB="0" distL="0" distR="0" wp14:anchorId="3DF781F9" wp14:editId="5B420A11">
          <wp:extent cx="3992880" cy="766769"/>
          <wp:effectExtent l="0" t="0" r="7620" b="0"/>
          <wp:docPr id="7" name="Picture 6" descr="Frimley Health and Care logo Final RGB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Frimley Health and Care logo Final RGB HIGH res.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994498" cy="767080"/>
                  </a:xfrm>
                  <a:prstGeom prst="rect">
                    <a:avLst/>
                  </a:prstGeom>
                </pic:spPr>
              </pic:pic>
            </a:graphicData>
          </a:graphic>
        </wp:inline>
      </w:drawing>
    </w:r>
  </w:p>
  <w:p w14:paraId="12E16F99" w14:textId="77777777" w:rsidR="002E1638" w:rsidRDefault="002E1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61AF2"/>
    <w:multiLevelType w:val="hybridMultilevel"/>
    <w:tmpl w:val="B58AFF56"/>
    <w:lvl w:ilvl="0" w:tplc="3FBC58D2">
      <w:start w:val="6"/>
      <w:numFmt w:val="decimal"/>
      <w:lvlText w:val="%1."/>
      <w:lvlJc w:val="left"/>
      <w:pPr>
        <w:ind w:left="827" w:hanging="360"/>
        <w:jc w:val="left"/>
      </w:pPr>
      <w:rPr>
        <w:rFonts w:ascii="Times New Roman" w:eastAsia="Times New Roman" w:hAnsi="Times New Roman" w:cs="Times New Roman" w:hint="default"/>
        <w:w w:val="110"/>
        <w:sz w:val="24"/>
        <w:szCs w:val="24"/>
      </w:rPr>
    </w:lvl>
    <w:lvl w:ilvl="1" w:tplc="CDB0546C">
      <w:numFmt w:val="bullet"/>
      <w:lvlText w:val="•"/>
      <w:lvlJc w:val="left"/>
      <w:pPr>
        <w:ind w:left="1642" w:hanging="360"/>
      </w:pPr>
      <w:rPr>
        <w:rFonts w:hint="default"/>
      </w:rPr>
    </w:lvl>
    <w:lvl w:ilvl="2" w:tplc="2FF6368E">
      <w:numFmt w:val="bullet"/>
      <w:lvlText w:val="•"/>
      <w:lvlJc w:val="left"/>
      <w:pPr>
        <w:ind w:left="2465" w:hanging="360"/>
      </w:pPr>
      <w:rPr>
        <w:rFonts w:hint="default"/>
      </w:rPr>
    </w:lvl>
    <w:lvl w:ilvl="3" w:tplc="4BE2AF96">
      <w:numFmt w:val="bullet"/>
      <w:lvlText w:val="•"/>
      <w:lvlJc w:val="left"/>
      <w:pPr>
        <w:ind w:left="3287" w:hanging="360"/>
      </w:pPr>
      <w:rPr>
        <w:rFonts w:hint="default"/>
      </w:rPr>
    </w:lvl>
    <w:lvl w:ilvl="4" w:tplc="8FE26740">
      <w:numFmt w:val="bullet"/>
      <w:lvlText w:val="•"/>
      <w:lvlJc w:val="left"/>
      <w:pPr>
        <w:ind w:left="4110" w:hanging="360"/>
      </w:pPr>
      <w:rPr>
        <w:rFonts w:hint="default"/>
      </w:rPr>
    </w:lvl>
    <w:lvl w:ilvl="5" w:tplc="83C2083E">
      <w:numFmt w:val="bullet"/>
      <w:lvlText w:val="•"/>
      <w:lvlJc w:val="left"/>
      <w:pPr>
        <w:ind w:left="4932" w:hanging="360"/>
      </w:pPr>
      <w:rPr>
        <w:rFonts w:hint="default"/>
      </w:rPr>
    </w:lvl>
    <w:lvl w:ilvl="6" w:tplc="B6960C3A">
      <w:numFmt w:val="bullet"/>
      <w:lvlText w:val="•"/>
      <w:lvlJc w:val="left"/>
      <w:pPr>
        <w:ind w:left="5755" w:hanging="360"/>
      </w:pPr>
      <w:rPr>
        <w:rFonts w:hint="default"/>
      </w:rPr>
    </w:lvl>
    <w:lvl w:ilvl="7" w:tplc="87C2AF16">
      <w:numFmt w:val="bullet"/>
      <w:lvlText w:val="•"/>
      <w:lvlJc w:val="left"/>
      <w:pPr>
        <w:ind w:left="6577" w:hanging="360"/>
      </w:pPr>
      <w:rPr>
        <w:rFonts w:hint="default"/>
      </w:rPr>
    </w:lvl>
    <w:lvl w:ilvl="8" w:tplc="6E926E54">
      <w:numFmt w:val="bullet"/>
      <w:lvlText w:val="•"/>
      <w:lvlJc w:val="left"/>
      <w:pPr>
        <w:ind w:left="7400" w:hanging="360"/>
      </w:pPr>
      <w:rPr>
        <w:rFonts w:hint="default"/>
      </w:rPr>
    </w:lvl>
  </w:abstractNum>
  <w:abstractNum w:abstractNumId="1" w15:restartNumberingAfterBreak="0">
    <w:nsid w:val="693A31B8"/>
    <w:multiLevelType w:val="hybridMultilevel"/>
    <w:tmpl w:val="4AF401EC"/>
    <w:lvl w:ilvl="0" w:tplc="100AB976">
      <w:start w:val="1"/>
      <w:numFmt w:val="upperLetter"/>
      <w:lvlText w:val="%1."/>
      <w:lvlJc w:val="left"/>
      <w:pPr>
        <w:ind w:left="218" w:hanging="310"/>
        <w:jc w:val="left"/>
      </w:pPr>
      <w:rPr>
        <w:rFonts w:ascii="Times New Roman" w:eastAsia="Times New Roman" w:hAnsi="Times New Roman" w:cs="Times New Roman" w:hint="default"/>
        <w:spacing w:val="-6"/>
        <w:w w:val="99"/>
        <w:sz w:val="24"/>
        <w:szCs w:val="24"/>
      </w:rPr>
    </w:lvl>
    <w:lvl w:ilvl="1" w:tplc="891ECDCC">
      <w:numFmt w:val="bullet"/>
      <w:lvlText w:val="•"/>
      <w:lvlJc w:val="left"/>
      <w:pPr>
        <w:ind w:left="1138" w:hanging="310"/>
      </w:pPr>
      <w:rPr>
        <w:rFonts w:hint="default"/>
      </w:rPr>
    </w:lvl>
    <w:lvl w:ilvl="2" w:tplc="C212A108">
      <w:numFmt w:val="bullet"/>
      <w:lvlText w:val="•"/>
      <w:lvlJc w:val="left"/>
      <w:pPr>
        <w:ind w:left="2057" w:hanging="310"/>
      </w:pPr>
      <w:rPr>
        <w:rFonts w:hint="default"/>
      </w:rPr>
    </w:lvl>
    <w:lvl w:ilvl="3" w:tplc="2A7A1890">
      <w:numFmt w:val="bullet"/>
      <w:lvlText w:val="•"/>
      <w:lvlJc w:val="left"/>
      <w:pPr>
        <w:ind w:left="2975" w:hanging="310"/>
      </w:pPr>
      <w:rPr>
        <w:rFonts w:hint="default"/>
      </w:rPr>
    </w:lvl>
    <w:lvl w:ilvl="4" w:tplc="CFAC6E8C">
      <w:numFmt w:val="bullet"/>
      <w:lvlText w:val="•"/>
      <w:lvlJc w:val="left"/>
      <w:pPr>
        <w:ind w:left="3894" w:hanging="310"/>
      </w:pPr>
      <w:rPr>
        <w:rFonts w:hint="default"/>
      </w:rPr>
    </w:lvl>
    <w:lvl w:ilvl="5" w:tplc="535C8206">
      <w:numFmt w:val="bullet"/>
      <w:lvlText w:val="•"/>
      <w:lvlJc w:val="left"/>
      <w:pPr>
        <w:ind w:left="4813" w:hanging="310"/>
      </w:pPr>
      <w:rPr>
        <w:rFonts w:hint="default"/>
      </w:rPr>
    </w:lvl>
    <w:lvl w:ilvl="6" w:tplc="B41C0758">
      <w:numFmt w:val="bullet"/>
      <w:lvlText w:val="•"/>
      <w:lvlJc w:val="left"/>
      <w:pPr>
        <w:ind w:left="5731" w:hanging="310"/>
      </w:pPr>
      <w:rPr>
        <w:rFonts w:hint="default"/>
      </w:rPr>
    </w:lvl>
    <w:lvl w:ilvl="7" w:tplc="0A68A112">
      <w:numFmt w:val="bullet"/>
      <w:lvlText w:val="•"/>
      <w:lvlJc w:val="left"/>
      <w:pPr>
        <w:ind w:left="6650" w:hanging="310"/>
      </w:pPr>
      <w:rPr>
        <w:rFonts w:hint="default"/>
      </w:rPr>
    </w:lvl>
    <w:lvl w:ilvl="8" w:tplc="B6D6E77C">
      <w:numFmt w:val="bullet"/>
      <w:lvlText w:val="•"/>
      <w:lvlJc w:val="left"/>
      <w:pPr>
        <w:ind w:left="7569" w:hanging="310"/>
      </w:pPr>
      <w:rPr>
        <w:rFonts w:hint="default"/>
      </w:rPr>
    </w:lvl>
  </w:abstractNum>
  <w:abstractNum w:abstractNumId="2" w15:restartNumberingAfterBreak="0">
    <w:nsid w:val="739C78B7"/>
    <w:multiLevelType w:val="hybridMultilevel"/>
    <w:tmpl w:val="B3B6D25E"/>
    <w:lvl w:ilvl="0" w:tplc="F5E020F0">
      <w:start w:val="1"/>
      <w:numFmt w:val="decimal"/>
      <w:lvlText w:val="%1."/>
      <w:lvlJc w:val="left"/>
      <w:pPr>
        <w:ind w:left="827" w:hanging="360"/>
        <w:jc w:val="left"/>
      </w:pPr>
      <w:rPr>
        <w:rFonts w:ascii="Times New Roman" w:eastAsia="Times New Roman" w:hAnsi="Times New Roman" w:cs="Times New Roman" w:hint="default"/>
        <w:w w:val="110"/>
        <w:sz w:val="24"/>
        <w:szCs w:val="24"/>
      </w:rPr>
    </w:lvl>
    <w:lvl w:ilvl="1" w:tplc="0BD40E2A">
      <w:numFmt w:val="bullet"/>
      <w:lvlText w:val="•"/>
      <w:lvlJc w:val="left"/>
      <w:pPr>
        <w:ind w:left="1642" w:hanging="360"/>
      </w:pPr>
      <w:rPr>
        <w:rFonts w:hint="default"/>
      </w:rPr>
    </w:lvl>
    <w:lvl w:ilvl="2" w:tplc="C308A7AE">
      <w:numFmt w:val="bullet"/>
      <w:lvlText w:val="•"/>
      <w:lvlJc w:val="left"/>
      <w:pPr>
        <w:ind w:left="2465" w:hanging="360"/>
      </w:pPr>
      <w:rPr>
        <w:rFonts w:hint="default"/>
      </w:rPr>
    </w:lvl>
    <w:lvl w:ilvl="3" w:tplc="2B4EC242">
      <w:numFmt w:val="bullet"/>
      <w:lvlText w:val="•"/>
      <w:lvlJc w:val="left"/>
      <w:pPr>
        <w:ind w:left="3287" w:hanging="360"/>
      </w:pPr>
      <w:rPr>
        <w:rFonts w:hint="default"/>
      </w:rPr>
    </w:lvl>
    <w:lvl w:ilvl="4" w:tplc="045C8D7C">
      <w:numFmt w:val="bullet"/>
      <w:lvlText w:val="•"/>
      <w:lvlJc w:val="left"/>
      <w:pPr>
        <w:ind w:left="4110" w:hanging="360"/>
      </w:pPr>
      <w:rPr>
        <w:rFonts w:hint="default"/>
      </w:rPr>
    </w:lvl>
    <w:lvl w:ilvl="5" w:tplc="65E44FD0">
      <w:numFmt w:val="bullet"/>
      <w:lvlText w:val="•"/>
      <w:lvlJc w:val="left"/>
      <w:pPr>
        <w:ind w:left="4932" w:hanging="360"/>
      </w:pPr>
      <w:rPr>
        <w:rFonts w:hint="default"/>
      </w:rPr>
    </w:lvl>
    <w:lvl w:ilvl="6" w:tplc="3210F35E">
      <w:numFmt w:val="bullet"/>
      <w:lvlText w:val="•"/>
      <w:lvlJc w:val="left"/>
      <w:pPr>
        <w:ind w:left="5755" w:hanging="360"/>
      </w:pPr>
      <w:rPr>
        <w:rFonts w:hint="default"/>
      </w:rPr>
    </w:lvl>
    <w:lvl w:ilvl="7" w:tplc="09C62F26">
      <w:numFmt w:val="bullet"/>
      <w:lvlText w:val="•"/>
      <w:lvlJc w:val="left"/>
      <w:pPr>
        <w:ind w:left="6577" w:hanging="360"/>
      </w:pPr>
      <w:rPr>
        <w:rFonts w:hint="default"/>
      </w:rPr>
    </w:lvl>
    <w:lvl w:ilvl="8" w:tplc="4626AB24">
      <w:numFmt w:val="bullet"/>
      <w:lvlText w:val="•"/>
      <w:lvlJc w:val="left"/>
      <w:pPr>
        <w:ind w:left="7400" w:hanging="360"/>
      </w:pPr>
      <w:rPr>
        <w:rFonts w:hint="default"/>
      </w:rPr>
    </w:lvl>
  </w:abstractNum>
  <w:num w:numId="1" w16cid:durableId="1347487525">
    <w:abstractNumId w:val="0"/>
  </w:num>
  <w:num w:numId="2" w16cid:durableId="1521040950">
    <w:abstractNumId w:val="2"/>
  </w:num>
  <w:num w:numId="3" w16cid:durableId="1277634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32C7"/>
    <w:rsid w:val="000039AE"/>
    <w:rsid w:val="002E1638"/>
    <w:rsid w:val="00477AD8"/>
    <w:rsid w:val="004E0578"/>
    <w:rsid w:val="0065099C"/>
    <w:rsid w:val="00792C53"/>
    <w:rsid w:val="00E43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0B181"/>
  <w15:docId w15:val="{FEBD85B3-B421-4BEC-A1FB-A797D313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E432C7"/>
    <w:pPr>
      <w:widowControl w:val="0"/>
      <w:autoSpaceDE w:val="0"/>
      <w:autoSpaceDN w:val="0"/>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432C7"/>
    <w:rPr>
      <w:sz w:val="24"/>
      <w:szCs w:val="24"/>
    </w:rPr>
  </w:style>
  <w:style w:type="character" w:customStyle="1" w:styleId="BodyTextChar">
    <w:name w:val="Body Text Char"/>
    <w:basedOn w:val="DefaultParagraphFont"/>
    <w:link w:val="BodyText"/>
    <w:uiPriority w:val="1"/>
    <w:rsid w:val="00E432C7"/>
    <w:rPr>
      <w:sz w:val="24"/>
      <w:szCs w:val="24"/>
      <w:lang w:val="en-US" w:eastAsia="en-US"/>
    </w:rPr>
  </w:style>
  <w:style w:type="paragraph" w:styleId="ListParagraph">
    <w:name w:val="List Paragraph"/>
    <w:basedOn w:val="Normal"/>
    <w:uiPriority w:val="1"/>
    <w:qFormat/>
    <w:rsid w:val="00E432C7"/>
    <w:pPr>
      <w:ind w:left="645" w:hanging="360"/>
    </w:pPr>
  </w:style>
  <w:style w:type="paragraph" w:customStyle="1" w:styleId="TableParagraph">
    <w:name w:val="Table Paragraph"/>
    <w:basedOn w:val="Normal"/>
    <w:uiPriority w:val="1"/>
    <w:qFormat/>
    <w:rsid w:val="00E432C7"/>
  </w:style>
  <w:style w:type="character" w:styleId="Hyperlink">
    <w:name w:val="Hyperlink"/>
    <w:basedOn w:val="DefaultParagraphFont"/>
    <w:rsid w:val="000039AE"/>
    <w:rPr>
      <w:color w:val="0000FF" w:themeColor="hyperlink"/>
      <w:u w:val="single"/>
    </w:rPr>
  </w:style>
  <w:style w:type="paragraph" w:styleId="Header">
    <w:name w:val="header"/>
    <w:basedOn w:val="Normal"/>
    <w:link w:val="HeaderChar"/>
    <w:uiPriority w:val="99"/>
    <w:rsid w:val="002E1638"/>
    <w:pPr>
      <w:tabs>
        <w:tab w:val="center" w:pos="4513"/>
        <w:tab w:val="right" w:pos="9026"/>
      </w:tabs>
    </w:pPr>
  </w:style>
  <w:style w:type="character" w:customStyle="1" w:styleId="HeaderChar">
    <w:name w:val="Header Char"/>
    <w:basedOn w:val="DefaultParagraphFont"/>
    <w:link w:val="Header"/>
    <w:uiPriority w:val="99"/>
    <w:rsid w:val="002E1638"/>
    <w:rPr>
      <w:sz w:val="22"/>
      <w:szCs w:val="22"/>
      <w:lang w:val="en-US" w:eastAsia="en-US"/>
    </w:rPr>
  </w:style>
  <w:style w:type="paragraph" w:styleId="Footer">
    <w:name w:val="footer"/>
    <w:basedOn w:val="Normal"/>
    <w:link w:val="FooterChar"/>
    <w:rsid w:val="002E1638"/>
    <w:pPr>
      <w:tabs>
        <w:tab w:val="center" w:pos="4513"/>
        <w:tab w:val="right" w:pos="9026"/>
      </w:tabs>
    </w:pPr>
  </w:style>
  <w:style w:type="character" w:customStyle="1" w:styleId="FooterChar">
    <w:name w:val="Footer Char"/>
    <w:basedOn w:val="DefaultParagraphFont"/>
    <w:link w:val="Footer"/>
    <w:rsid w:val="002E1638"/>
    <w:rPr>
      <w:sz w:val="22"/>
      <w:szCs w:val="22"/>
      <w:lang w:val="en-US" w:eastAsia="en-US"/>
    </w:rPr>
  </w:style>
  <w:style w:type="paragraph" w:styleId="BalloonText">
    <w:name w:val="Balloon Text"/>
    <w:basedOn w:val="Normal"/>
    <w:link w:val="BalloonTextChar"/>
    <w:rsid w:val="002E1638"/>
    <w:rPr>
      <w:rFonts w:ascii="Tahoma" w:hAnsi="Tahoma" w:cs="Tahoma"/>
      <w:sz w:val="16"/>
      <w:szCs w:val="16"/>
    </w:rPr>
  </w:style>
  <w:style w:type="character" w:customStyle="1" w:styleId="BalloonTextChar">
    <w:name w:val="Balloon Text Char"/>
    <w:basedOn w:val="DefaultParagraphFont"/>
    <w:link w:val="BalloonText"/>
    <w:rsid w:val="002E163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a.ac.uk/w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omrc.org.uk/ebi/wp-content/uploads/2021/05/ebi-statutory-guidanc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a.ac.uk/wp-content/uploads/2014/08/Subacromial-Shoulder-"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ess.org.uk/index.php/public-area/shpi-vide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Frimley Park Hospital NHS Foundation Trust</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Hall - Senior Contracts Manager</dc:creator>
  <cp:lastModifiedBy>HALL, Karen (FRIMLEY HEALTH NHS FOUNDATION TRUST)</cp:lastModifiedBy>
  <cp:revision>2</cp:revision>
  <dcterms:created xsi:type="dcterms:W3CDTF">2023-02-22T13:34:00Z</dcterms:created>
  <dcterms:modified xsi:type="dcterms:W3CDTF">2023-02-22T13:34:00Z</dcterms:modified>
</cp:coreProperties>
</file>