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33BF" w14:textId="77777777" w:rsidR="00D1088C" w:rsidRPr="00D1088C" w:rsidRDefault="00D1088C" w:rsidP="00A9417D">
      <w:pPr>
        <w:rPr>
          <w:rFonts w:ascii="Arial" w:hAnsi="Arial" w:cs="Arial"/>
        </w:rPr>
      </w:pPr>
    </w:p>
    <w:p w14:paraId="547937F2" w14:textId="65AF7424" w:rsidR="002778A2" w:rsidRPr="002778A2" w:rsidRDefault="00D1088C" w:rsidP="00D1088C">
      <w:pPr>
        <w:rPr>
          <w:rFonts w:ascii="Arial" w:hAnsi="Arial" w:cs="Arial"/>
          <w:i/>
          <w:sz w:val="18"/>
          <w:szCs w:val="18"/>
        </w:rPr>
      </w:pPr>
      <w:r w:rsidRPr="002778A2">
        <w:rPr>
          <w:rFonts w:ascii="Arial" w:hAnsi="Arial" w:cs="Arial"/>
          <w:i/>
          <w:sz w:val="18"/>
          <w:szCs w:val="18"/>
        </w:rPr>
        <w:t>Extract from the below named document for IC</w:t>
      </w:r>
      <w:r w:rsidR="002778A2" w:rsidRPr="002778A2">
        <w:rPr>
          <w:rFonts w:ascii="Arial" w:hAnsi="Arial" w:cs="Arial"/>
          <w:i/>
          <w:sz w:val="18"/>
          <w:szCs w:val="18"/>
        </w:rPr>
        <w:t>B</w:t>
      </w:r>
      <w:r w:rsidRPr="002778A2">
        <w:rPr>
          <w:rFonts w:ascii="Arial" w:hAnsi="Arial" w:cs="Arial"/>
          <w:i/>
          <w:sz w:val="18"/>
          <w:szCs w:val="18"/>
        </w:rPr>
        <w:t xml:space="preserve"> Implementation </w:t>
      </w:r>
      <w:proofErr w:type="gramStart"/>
      <w:r w:rsidRPr="002778A2">
        <w:rPr>
          <w:rFonts w:ascii="Arial" w:hAnsi="Arial" w:cs="Arial"/>
          <w:i/>
          <w:sz w:val="18"/>
          <w:szCs w:val="18"/>
        </w:rPr>
        <w:t>purposes;</w:t>
      </w:r>
      <w:proofErr w:type="gramEnd"/>
      <w:r w:rsidRPr="002778A2">
        <w:rPr>
          <w:rFonts w:ascii="Arial" w:hAnsi="Arial" w:cs="Arial"/>
          <w:i/>
          <w:sz w:val="18"/>
          <w:szCs w:val="18"/>
        </w:rPr>
        <w:t xml:space="preserve">  </w:t>
      </w:r>
    </w:p>
    <w:p w14:paraId="213E8877" w14:textId="58FB7A59" w:rsidR="002778A2" w:rsidRPr="002778A2" w:rsidRDefault="002778A2" w:rsidP="00D1088C">
      <w:pPr>
        <w:rPr>
          <w:rFonts w:ascii="Arial" w:hAnsi="Arial" w:cs="Arial"/>
          <w:i/>
          <w:sz w:val="18"/>
          <w:szCs w:val="18"/>
        </w:rPr>
      </w:pPr>
      <w:hyperlink r:id="rId7" w:history="1">
        <w:r w:rsidRPr="002778A2">
          <w:rPr>
            <w:rStyle w:val="Hyperlink"/>
            <w:rFonts w:ascii="Arial" w:hAnsi="Arial" w:cs="Arial"/>
            <w:sz w:val="18"/>
            <w:szCs w:val="18"/>
          </w:rPr>
          <w:t xml:space="preserve">Microsoft Word - EBI consultation </w:t>
        </w:r>
        <w:r w:rsidRPr="002778A2">
          <w:rPr>
            <w:rStyle w:val="Hyperlink"/>
            <w:rFonts w:ascii="Arial" w:hAnsi="Arial" w:cs="Arial"/>
            <w:sz w:val="18"/>
            <w:szCs w:val="18"/>
          </w:rPr>
          <w:t>r</w:t>
        </w:r>
        <w:r w:rsidRPr="002778A2">
          <w:rPr>
            <w:rStyle w:val="Hyperlink"/>
            <w:rFonts w:ascii="Arial" w:hAnsi="Arial" w:cs="Arial"/>
            <w:sz w:val="18"/>
            <w:szCs w:val="18"/>
          </w:rPr>
          <w:t>esponse statutory guidance 11 Jan 2019 FINAL v2.0 CLEAN + cover sheet.docx (aomrc.org.uk)</w:t>
        </w:r>
      </w:hyperlink>
    </w:p>
    <w:p w14:paraId="1E5AD941" w14:textId="17077E0B" w:rsidR="00D1088C" w:rsidRPr="00D1088C" w:rsidRDefault="00D1088C" w:rsidP="00D1088C">
      <w:pPr>
        <w:jc w:val="center"/>
        <w:rPr>
          <w:rFonts w:ascii="Arial" w:hAnsi="Arial" w:cs="Arial"/>
        </w:rPr>
      </w:pPr>
      <w:r w:rsidRPr="00D1088C">
        <w:rPr>
          <w:rFonts w:ascii="Arial" w:hAnsi="Arial" w:cs="Arial"/>
        </w:rPr>
        <w:softHyphen/>
      </w:r>
      <w:r w:rsidRPr="00D1088C">
        <w:rPr>
          <w:rFonts w:ascii="Arial" w:hAnsi="Arial" w:cs="Arial"/>
        </w:rPr>
        <w:softHyphen/>
      </w:r>
      <w:r w:rsidRPr="00D1088C">
        <w:rPr>
          <w:rFonts w:ascii="Arial" w:hAnsi="Arial" w:cs="Arial"/>
        </w:rPr>
        <w:softHyphen/>
      </w:r>
      <w:r w:rsidRPr="00D1088C">
        <w:rPr>
          <w:rFonts w:ascii="Arial" w:hAnsi="Arial" w:cs="Arial"/>
        </w:rPr>
        <w:softHyphen/>
      </w:r>
      <w:r w:rsidRPr="00D1088C">
        <w:rPr>
          <w:rFonts w:ascii="Arial" w:hAnsi="Arial" w:cs="Arial"/>
        </w:rPr>
        <w:softHyphen/>
      </w:r>
      <w:r w:rsidRPr="00D1088C">
        <w:rPr>
          <w:rFonts w:ascii="Arial" w:hAnsi="Arial" w:cs="Arial"/>
        </w:rPr>
        <w:softHyphen/>
      </w:r>
      <w:r w:rsidRPr="00D1088C">
        <w:rPr>
          <w:rFonts w:ascii="Arial" w:hAnsi="Arial" w:cs="Arial"/>
        </w:rPr>
        <w:softHyphen/>
        <w:t>________________________________________________________________</w:t>
      </w:r>
    </w:p>
    <w:p w14:paraId="1E4D4D82" w14:textId="77777777" w:rsidR="00D1088C" w:rsidRPr="00D1088C" w:rsidRDefault="00D1088C" w:rsidP="00A9417D">
      <w:pPr>
        <w:rPr>
          <w:rFonts w:ascii="Arial" w:hAnsi="Arial" w:cs="Arial"/>
        </w:rPr>
      </w:pPr>
    </w:p>
    <w:p w14:paraId="16A3453A" w14:textId="77777777" w:rsidR="00912829" w:rsidRDefault="00D1088C" w:rsidP="00A9417D">
      <w:pPr>
        <w:rPr>
          <w:rFonts w:ascii="Arial" w:hAnsi="Arial" w:cs="Arial"/>
        </w:rPr>
      </w:pPr>
      <w:proofErr w:type="spellStart"/>
      <w:r w:rsidRPr="00D1088C">
        <w:rPr>
          <w:rFonts w:ascii="Arial" w:hAnsi="Arial" w:cs="Arial"/>
        </w:rPr>
        <w:t>C</w:t>
      </w:r>
      <w:r w:rsidR="00912829" w:rsidRPr="00D1088C">
        <w:rPr>
          <w:rFonts w:ascii="Arial" w:hAnsi="Arial" w:cs="Arial"/>
        </w:rPr>
        <w:t>halazia</w:t>
      </w:r>
      <w:proofErr w:type="spellEnd"/>
      <w:r w:rsidR="00912829" w:rsidRPr="00D1088C">
        <w:rPr>
          <w:rFonts w:ascii="Arial" w:hAnsi="Arial" w:cs="Arial"/>
        </w:rPr>
        <w:t xml:space="preserve"> removal</w:t>
      </w:r>
    </w:p>
    <w:p w14:paraId="10A3831C" w14:textId="77777777" w:rsidR="00D1088C" w:rsidRPr="00D1088C" w:rsidRDefault="00D1088C" w:rsidP="00A9417D">
      <w:pPr>
        <w:rPr>
          <w:rFonts w:ascii="Arial" w:hAnsi="Arial" w:cs="Arial"/>
        </w:rPr>
      </w:pPr>
    </w:p>
    <w:p w14:paraId="6BE9961F" w14:textId="77777777" w:rsidR="00912829" w:rsidRPr="00D1088C" w:rsidRDefault="00912829" w:rsidP="00A9417D">
      <w:pPr>
        <w:rPr>
          <w:rFonts w:ascii="Arial" w:hAnsi="Arial" w:cs="Arial"/>
        </w:rPr>
      </w:pPr>
      <w:r w:rsidRPr="00D1088C">
        <w:rPr>
          <w:rFonts w:ascii="Arial" w:hAnsi="Arial" w:cs="Arial"/>
        </w:rPr>
        <w:t>Updated description of the intervention</w:t>
      </w:r>
    </w:p>
    <w:p w14:paraId="7B311201" w14:textId="77777777" w:rsidR="00D1088C" w:rsidRDefault="00D1088C" w:rsidP="00A9417D">
      <w:pPr>
        <w:rPr>
          <w:rFonts w:ascii="Arial" w:hAnsi="Arial" w:cs="Arial"/>
        </w:rPr>
      </w:pPr>
    </w:p>
    <w:p w14:paraId="248C9C30" w14:textId="77777777" w:rsidR="00912829" w:rsidRPr="00D1088C" w:rsidRDefault="00912829" w:rsidP="00A9417D">
      <w:pPr>
        <w:rPr>
          <w:rFonts w:ascii="Arial" w:hAnsi="Arial" w:cs="Arial"/>
        </w:rPr>
      </w:pPr>
      <w:r w:rsidRPr="00D1088C">
        <w:rPr>
          <w:rFonts w:ascii="Arial" w:hAnsi="Arial" w:cs="Arial"/>
        </w:rPr>
        <w:t xml:space="preserve">The evidence shows that alternative treatment options (warm compresses, drops or ointment, steroid injection) or a “watch and wait” approach will lead to resolution of many </w:t>
      </w:r>
      <w:proofErr w:type="spellStart"/>
      <w:r w:rsidRPr="00D1088C">
        <w:rPr>
          <w:rFonts w:ascii="Arial" w:hAnsi="Arial" w:cs="Arial"/>
        </w:rPr>
        <w:t>chalazia</w:t>
      </w:r>
      <w:proofErr w:type="spellEnd"/>
      <w:r w:rsidRPr="00D1088C">
        <w:rPr>
          <w:rFonts w:ascii="Arial" w:hAnsi="Arial" w:cs="Arial"/>
        </w:rPr>
        <w:t xml:space="preserve"> without the risks of surgery.</w:t>
      </w:r>
    </w:p>
    <w:p w14:paraId="41509F99" w14:textId="77777777" w:rsidR="00912829" w:rsidRPr="00D1088C" w:rsidRDefault="00912829" w:rsidP="00A9417D">
      <w:pPr>
        <w:rPr>
          <w:rFonts w:ascii="Arial" w:hAnsi="Arial" w:cs="Arial"/>
        </w:rPr>
      </w:pPr>
    </w:p>
    <w:p w14:paraId="4D079955" w14:textId="77777777" w:rsidR="00912829" w:rsidRPr="00D1088C" w:rsidRDefault="00912829" w:rsidP="00A9417D">
      <w:pPr>
        <w:rPr>
          <w:rFonts w:ascii="Arial" w:hAnsi="Arial" w:cs="Arial"/>
        </w:rPr>
      </w:pPr>
      <w:r w:rsidRPr="00D1088C">
        <w:rPr>
          <w:rFonts w:ascii="Arial" w:hAnsi="Arial" w:cs="Arial"/>
        </w:rPr>
        <w:t>Updated clinical criteria</w:t>
      </w:r>
    </w:p>
    <w:p w14:paraId="3792292C" w14:textId="77777777" w:rsidR="00912829" w:rsidRPr="00D1088C" w:rsidRDefault="00912829" w:rsidP="00A9417D">
      <w:pPr>
        <w:rPr>
          <w:rFonts w:ascii="Arial" w:hAnsi="Arial"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3"/>
      </w:tblGrid>
      <w:tr w:rsidR="00912829" w:rsidRPr="00D1088C" w14:paraId="72CDA80F" w14:textId="77777777" w:rsidTr="00D1088C">
        <w:trPr>
          <w:trHeight w:val="275"/>
        </w:trPr>
        <w:tc>
          <w:tcPr>
            <w:tcW w:w="9273" w:type="dxa"/>
            <w:shd w:val="clear" w:color="auto" w:fill="16365D"/>
          </w:tcPr>
          <w:p w14:paraId="7D4247E9" w14:textId="77777777" w:rsidR="00912829" w:rsidRPr="00D1088C" w:rsidRDefault="00912829" w:rsidP="00A9417D">
            <w:pPr>
              <w:rPr>
                <w:rFonts w:ascii="Arial" w:hAnsi="Arial" w:cs="Arial"/>
              </w:rPr>
            </w:pPr>
            <w:r w:rsidRPr="00D1088C">
              <w:rPr>
                <w:rFonts w:ascii="Arial" w:hAnsi="Arial" w:cs="Arial"/>
              </w:rPr>
              <w:t>Summary of intervention</w:t>
            </w:r>
          </w:p>
        </w:tc>
      </w:tr>
      <w:tr w:rsidR="00912829" w:rsidRPr="00D1088C" w14:paraId="7FE74D50" w14:textId="77777777" w:rsidTr="00D1088C">
        <w:trPr>
          <w:trHeight w:val="1084"/>
        </w:trPr>
        <w:tc>
          <w:tcPr>
            <w:tcW w:w="9273" w:type="dxa"/>
          </w:tcPr>
          <w:p w14:paraId="56B52F60" w14:textId="77777777" w:rsidR="00912829" w:rsidRPr="00D1088C" w:rsidRDefault="00912829" w:rsidP="00A9417D">
            <w:pPr>
              <w:rPr>
                <w:rFonts w:ascii="Arial" w:hAnsi="Arial" w:cs="Arial"/>
              </w:rPr>
            </w:pPr>
            <w:r w:rsidRPr="00D1088C">
              <w:rPr>
                <w:rFonts w:ascii="Arial" w:hAnsi="Arial" w:cs="Arial"/>
              </w:rPr>
              <w:t xml:space="preserve">This procedure involves </w:t>
            </w:r>
            <w:proofErr w:type="gramStart"/>
            <w:r w:rsidRPr="00D1088C">
              <w:rPr>
                <w:rFonts w:ascii="Arial" w:hAnsi="Arial" w:cs="Arial"/>
              </w:rPr>
              <w:t>incision  and</w:t>
            </w:r>
            <w:proofErr w:type="gramEnd"/>
            <w:r w:rsidRPr="00D1088C">
              <w:rPr>
                <w:rFonts w:ascii="Arial" w:hAnsi="Arial" w:cs="Arial"/>
              </w:rPr>
              <w:t xml:space="preserve">  curettage (scraping away) of  the  contents of the chalazion. </w:t>
            </w:r>
            <w:proofErr w:type="spellStart"/>
            <w:r w:rsidRPr="00D1088C">
              <w:rPr>
                <w:rFonts w:ascii="Arial" w:hAnsi="Arial" w:cs="Arial"/>
              </w:rPr>
              <w:t>Chalazia</w:t>
            </w:r>
            <w:proofErr w:type="spellEnd"/>
            <w:r w:rsidRPr="00D1088C">
              <w:rPr>
                <w:rFonts w:ascii="Arial" w:hAnsi="Arial" w:cs="Arial"/>
              </w:rPr>
              <w:t xml:space="preserve"> (meibomian cysts) are benign lesions on the eyelids due to blockage and swelling of an oil gland that normally change size over a few weeks. Many but not all resolve within six months with regular application of warm compresses and massage.</w:t>
            </w:r>
          </w:p>
        </w:tc>
      </w:tr>
      <w:tr w:rsidR="00912829" w:rsidRPr="00D1088C" w14:paraId="4C080235" w14:textId="77777777" w:rsidTr="00D1088C">
        <w:trPr>
          <w:trHeight w:val="275"/>
        </w:trPr>
        <w:tc>
          <w:tcPr>
            <w:tcW w:w="9273" w:type="dxa"/>
            <w:shd w:val="clear" w:color="auto" w:fill="16365D"/>
          </w:tcPr>
          <w:p w14:paraId="678DF54A" w14:textId="77777777" w:rsidR="00912829" w:rsidRPr="00D1088C" w:rsidRDefault="00912829" w:rsidP="00A9417D">
            <w:pPr>
              <w:rPr>
                <w:rFonts w:ascii="Arial" w:hAnsi="Arial" w:cs="Arial"/>
              </w:rPr>
            </w:pPr>
            <w:r w:rsidRPr="00D1088C">
              <w:rPr>
                <w:rFonts w:ascii="Arial" w:hAnsi="Arial" w:cs="Arial"/>
              </w:rPr>
              <w:t>Number of CCG interventions in 2017/18</w:t>
            </w:r>
          </w:p>
        </w:tc>
      </w:tr>
      <w:tr w:rsidR="00912829" w:rsidRPr="00D1088C" w14:paraId="2010EC13" w14:textId="77777777" w:rsidTr="00D1088C">
        <w:trPr>
          <w:trHeight w:val="281"/>
        </w:trPr>
        <w:tc>
          <w:tcPr>
            <w:tcW w:w="9273" w:type="dxa"/>
          </w:tcPr>
          <w:p w14:paraId="6A497B6D" w14:textId="77777777" w:rsidR="00912829" w:rsidRPr="00D1088C" w:rsidRDefault="00912829" w:rsidP="00A9417D">
            <w:pPr>
              <w:rPr>
                <w:rFonts w:ascii="Arial" w:hAnsi="Arial" w:cs="Arial"/>
              </w:rPr>
            </w:pPr>
            <w:r w:rsidRPr="00D1088C">
              <w:rPr>
                <w:rFonts w:ascii="Arial" w:hAnsi="Arial" w:cs="Arial"/>
              </w:rPr>
              <w:t>6,026</w:t>
            </w:r>
          </w:p>
        </w:tc>
      </w:tr>
      <w:tr w:rsidR="00912829" w:rsidRPr="00D1088C" w14:paraId="02EB2AEB" w14:textId="77777777" w:rsidTr="00D1088C">
        <w:trPr>
          <w:trHeight w:val="275"/>
        </w:trPr>
        <w:tc>
          <w:tcPr>
            <w:tcW w:w="9273" w:type="dxa"/>
            <w:shd w:val="clear" w:color="auto" w:fill="16365D"/>
          </w:tcPr>
          <w:p w14:paraId="443D68D2" w14:textId="77777777" w:rsidR="00912829" w:rsidRPr="00D1088C" w:rsidRDefault="00912829" w:rsidP="00A9417D">
            <w:pPr>
              <w:rPr>
                <w:rFonts w:ascii="Arial" w:hAnsi="Arial" w:cs="Arial"/>
              </w:rPr>
            </w:pPr>
            <w:r w:rsidRPr="00D1088C">
              <w:rPr>
                <w:rFonts w:ascii="Arial" w:hAnsi="Arial" w:cs="Arial"/>
              </w:rPr>
              <w:t>Recommendation</w:t>
            </w:r>
          </w:p>
        </w:tc>
      </w:tr>
      <w:tr w:rsidR="00912829" w:rsidRPr="00D1088C" w14:paraId="3DD0E892" w14:textId="77777777" w:rsidTr="00D1088C">
        <w:trPr>
          <w:trHeight w:val="3420"/>
        </w:trPr>
        <w:tc>
          <w:tcPr>
            <w:tcW w:w="9273" w:type="dxa"/>
          </w:tcPr>
          <w:p w14:paraId="12DA18B2" w14:textId="77777777" w:rsidR="00912829" w:rsidRPr="00D1088C" w:rsidRDefault="00912829" w:rsidP="00A9417D">
            <w:pPr>
              <w:rPr>
                <w:rFonts w:ascii="Arial" w:hAnsi="Arial" w:cs="Arial"/>
              </w:rPr>
            </w:pPr>
            <w:r w:rsidRPr="00D1088C">
              <w:rPr>
                <w:rFonts w:ascii="Arial" w:hAnsi="Arial" w:cs="Arial"/>
              </w:rPr>
              <w:t xml:space="preserve">Incision and curettage (or triamcinolone injection for suitable candidates) of </w:t>
            </w:r>
            <w:proofErr w:type="spellStart"/>
            <w:r w:rsidRPr="00D1088C">
              <w:rPr>
                <w:rFonts w:ascii="Arial" w:hAnsi="Arial" w:cs="Arial"/>
              </w:rPr>
              <w:t>chalazia</w:t>
            </w:r>
            <w:proofErr w:type="spellEnd"/>
            <w:r w:rsidRPr="00D1088C">
              <w:rPr>
                <w:rFonts w:ascii="Arial" w:hAnsi="Arial" w:cs="Arial"/>
              </w:rPr>
              <w:t xml:space="preserve"> should only be undertaken if at least one of the following criteria have been met:</w:t>
            </w:r>
          </w:p>
          <w:p w14:paraId="53F2154B" w14:textId="77777777" w:rsidR="00912829" w:rsidRPr="00D1088C" w:rsidRDefault="00912829" w:rsidP="00A9417D">
            <w:pPr>
              <w:rPr>
                <w:rFonts w:ascii="Arial" w:hAnsi="Arial" w:cs="Arial"/>
              </w:rPr>
            </w:pPr>
          </w:p>
          <w:p w14:paraId="0927CAAC" w14:textId="77777777" w:rsidR="00912829" w:rsidRPr="00D1088C" w:rsidRDefault="00912829" w:rsidP="00A9417D">
            <w:pPr>
              <w:rPr>
                <w:rFonts w:ascii="Arial" w:hAnsi="Arial" w:cs="Arial"/>
              </w:rPr>
            </w:pPr>
            <w:r w:rsidRPr="00D1088C">
              <w:rPr>
                <w:rFonts w:ascii="Arial" w:hAnsi="Arial" w:cs="Arial"/>
              </w:rPr>
              <w:t>Has been present for more than 6 months and has been managed conservatively with warm compresses, lid cleaning and massage for 4 weeks</w:t>
            </w:r>
          </w:p>
          <w:p w14:paraId="5696D597" w14:textId="77777777" w:rsidR="00912829" w:rsidRPr="00D1088C" w:rsidRDefault="00912829" w:rsidP="00A9417D">
            <w:pPr>
              <w:rPr>
                <w:rFonts w:ascii="Arial" w:hAnsi="Arial" w:cs="Arial"/>
              </w:rPr>
            </w:pPr>
            <w:r w:rsidRPr="00D1088C">
              <w:rPr>
                <w:rFonts w:ascii="Arial" w:hAnsi="Arial" w:cs="Arial"/>
              </w:rPr>
              <w:t>Interferes significantly with vision</w:t>
            </w:r>
          </w:p>
          <w:p w14:paraId="738CE907" w14:textId="77777777" w:rsidR="00912829" w:rsidRPr="00D1088C" w:rsidRDefault="00912829" w:rsidP="00A9417D">
            <w:pPr>
              <w:rPr>
                <w:rFonts w:ascii="Arial" w:hAnsi="Arial" w:cs="Arial"/>
              </w:rPr>
            </w:pPr>
            <w:r w:rsidRPr="00D1088C">
              <w:rPr>
                <w:rFonts w:ascii="Arial" w:hAnsi="Arial" w:cs="Arial"/>
              </w:rPr>
              <w:t>Interferes with the protection of the eye by the eyelid due to altered lid closure or lid anatomy</w:t>
            </w:r>
          </w:p>
          <w:p w14:paraId="7FD4B650" w14:textId="77777777" w:rsidR="00912829" w:rsidRPr="00D1088C" w:rsidRDefault="00912829" w:rsidP="00A9417D">
            <w:pPr>
              <w:rPr>
                <w:rFonts w:ascii="Arial" w:hAnsi="Arial" w:cs="Arial"/>
              </w:rPr>
            </w:pPr>
            <w:r w:rsidRPr="00D1088C">
              <w:rPr>
                <w:rFonts w:ascii="Arial" w:hAnsi="Arial" w:cs="Arial"/>
              </w:rPr>
              <w:t>Is a source of infection that has required medical attention twice or more within a six month time frame</w:t>
            </w:r>
          </w:p>
          <w:p w14:paraId="1E63162C" w14:textId="77777777" w:rsidR="00912829" w:rsidRPr="00D1088C" w:rsidRDefault="00912829" w:rsidP="00A9417D">
            <w:pPr>
              <w:rPr>
                <w:rFonts w:ascii="Arial" w:hAnsi="Arial" w:cs="Arial"/>
              </w:rPr>
            </w:pPr>
            <w:r w:rsidRPr="00D1088C">
              <w:rPr>
                <w:rFonts w:ascii="Arial" w:hAnsi="Arial" w:cs="Arial"/>
              </w:rPr>
              <w:t>Is a source of infection causing an abscess which requires drainage</w:t>
            </w:r>
          </w:p>
          <w:p w14:paraId="5A565A3E" w14:textId="77777777" w:rsidR="00912829" w:rsidRPr="00D1088C" w:rsidRDefault="00912829" w:rsidP="00A9417D">
            <w:pPr>
              <w:rPr>
                <w:rFonts w:ascii="Arial" w:hAnsi="Arial" w:cs="Arial"/>
              </w:rPr>
            </w:pPr>
            <w:r w:rsidRPr="00D1088C">
              <w:rPr>
                <w:rFonts w:ascii="Arial" w:hAnsi="Arial" w:cs="Arial"/>
              </w:rPr>
              <w:t xml:space="preserve">If malignancy (cancer) is suspected </w:t>
            </w:r>
            <w:proofErr w:type="spellStart"/>
            <w:r w:rsidRPr="00D1088C">
              <w:rPr>
                <w:rFonts w:ascii="Arial" w:hAnsi="Arial" w:cs="Arial"/>
              </w:rPr>
              <w:t>eg.</w:t>
            </w:r>
            <w:proofErr w:type="spellEnd"/>
            <w:r w:rsidRPr="00D1088C">
              <w:rPr>
                <w:rFonts w:ascii="Arial" w:hAnsi="Arial" w:cs="Arial"/>
              </w:rPr>
              <w:t xml:space="preserve"> Madarosis/recurrence/other suspicious features in which case the lesion should be removed and sent for histology as for all suspicious lesions</w:t>
            </w:r>
          </w:p>
        </w:tc>
      </w:tr>
      <w:tr w:rsidR="00912829" w:rsidRPr="00D1088C" w14:paraId="7A490852" w14:textId="77777777" w:rsidTr="00D1088C">
        <w:trPr>
          <w:trHeight w:val="275"/>
        </w:trPr>
        <w:tc>
          <w:tcPr>
            <w:tcW w:w="9273" w:type="dxa"/>
            <w:shd w:val="clear" w:color="auto" w:fill="16365D"/>
          </w:tcPr>
          <w:p w14:paraId="12770009" w14:textId="77777777" w:rsidR="00912829" w:rsidRPr="00D1088C" w:rsidRDefault="00912829" w:rsidP="00A9417D">
            <w:pPr>
              <w:rPr>
                <w:rFonts w:ascii="Arial" w:hAnsi="Arial" w:cs="Arial"/>
              </w:rPr>
            </w:pPr>
            <w:r w:rsidRPr="00D1088C">
              <w:rPr>
                <w:rFonts w:ascii="Arial" w:hAnsi="Arial" w:cs="Arial"/>
              </w:rPr>
              <w:t>Rationale for recommendation</w:t>
            </w:r>
          </w:p>
        </w:tc>
      </w:tr>
      <w:tr w:rsidR="00912829" w:rsidRPr="00D1088C" w14:paraId="34E5EAA1" w14:textId="77777777" w:rsidTr="00D1088C">
        <w:trPr>
          <w:trHeight w:val="2968"/>
        </w:trPr>
        <w:tc>
          <w:tcPr>
            <w:tcW w:w="9273" w:type="dxa"/>
          </w:tcPr>
          <w:p w14:paraId="5ED134B0" w14:textId="77777777" w:rsidR="00912829" w:rsidRPr="00D1088C" w:rsidRDefault="00912829" w:rsidP="00A9417D">
            <w:pPr>
              <w:rPr>
                <w:rFonts w:ascii="Arial" w:hAnsi="Arial" w:cs="Arial"/>
              </w:rPr>
            </w:pPr>
            <w:r w:rsidRPr="00D1088C">
              <w:rPr>
                <w:rFonts w:ascii="Arial" w:hAnsi="Arial" w:cs="Arial"/>
              </w:rPr>
              <w:t xml:space="preserve">NICE recommend that warm compresses and lid massage alone are sufficient </w:t>
            </w:r>
            <w:proofErr w:type="gramStart"/>
            <w:r w:rsidRPr="00D1088C">
              <w:rPr>
                <w:rFonts w:ascii="Arial" w:hAnsi="Arial" w:cs="Arial"/>
              </w:rPr>
              <w:t>first  line</w:t>
            </w:r>
            <w:proofErr w:type="gramEnd"/>
            <w:r w:rsidRPr="00D1088C">
              <w:rPr>
                <w:rFonts w:ascii="Arial" w:hAnsi="Arial" w:cs="Arial"/>
              </w:rPr>
              <w:t xml:space="preserve"> treat</w:t>
            </w:r>
            <w:r w:rsidR="00D1088C">
              <w:rPr>
                <w:rFonts w:ascii="Arial" w:hAnsi="Arial" w:cs="Arial"/>
              </w:rPr>
              <w:t xml:space="preserve">ment for </w:t>
            </w:r>
            <w:proofErr w:type="spellStart"/>
            <w:r w:rsidR="00D1088C">
              <w:rPr>
                <w:rFonts w:ascii="Arial" w:hAnsi="Arial" w:cs="Arial"/>
              </w:rPr>
              <w:t>chalazia</w:t>
            </w:r>
            <w:proofErr w:type="spellEnd"/>
            <w:r w:rsidR="00D1088C">
              <w:rPr>
                <w:rFonts w:ascii="Arial" w:hAnsi="Arial" w:cs="Arial"/>
              </w:rPr>
              <w:t>. If infection</w:t>
            </w:r>
            <w:r w:rsidRPr="00D1088C">
              <w:rPr>
                <w:rFonts w:ascii="Arial" w:hAnsi="Arial" w:cs="Arial"/>
              </w:rPr>
              <w:t xml:space="preserve"> is suspected a </w:t>
            </w:r>
            <w:proofErr w:type="gramStart"/>
            <w:r w:rsidRPr="00D1088C">
              <w:rPr>
                <w:rFonts w:ascii="Arial" w:hAnsi="Arial" w:cs="Arial"/>
              </w:rPr>
              <w:t>drop  or</w:t>
            </w:r>
            <w:proofErr w:type="gramEnd"/>
            <w:r w:rsidRPr="00D1088C">
              <w:rPr>
                <w:rFonts w:ascii="Arial" w:hAnsi="Arial" w:cs="Arial"/>
              </w:rPr>
              <w:t xml:space="preserve">  ointment  containing an antibiotic (e.g. Chloramphenicol) should be added in addition to warm  compresses. Only </w:t>
            </w:r>
            <w:proofErr w:type="gramStart"/>
            <w:r w:rsidRPr="00D1088C">
              <w:rPr>
                <w:rFonts w:ascii="Arial" w:hAnsi="Arial" w:cs="Arial"/>
              </w:rPr>
              <w:t>if  there</w:t>
            </w:r>
            <w:proofErr w:type="gramEnd"/>
            <w:r w:rsidRPr="00D1088C">
              <w:rPr>
                <w:rFonts w:ascii="Arial" w:hAnsi="Arial" w:cs="Arial"/>
              </w:rPr>
              <w:t xml:space="preserve"> is spreading lid and facial cellulitis should a short course   of oral antibiotics (e.g. co-amoxiclav) be used.</w:t>
            </w:r>
          </w:p>
          <w:p w14:paraId="1ADF2A5E" w14:textId="77777777" w:rsidR="00912829" w:rsidRPr="00D1088C" w:rsidRDefault="00912829" w:rsidP="00A9417D">
            <w:pPr>
              <w:rPr>
                <w:rFonts w:ascii="Arial" w:hAnsi="Arial" w:cs="Arial"/>
              </w:rPr>
            </w:pPr>
          </w:p>
          <w:p w14:paraId="7E69173C" w14:textId="77777777" w:rsidR="00D1088C" w:rsidRPr="00D1088C" w:rsidRDefault="00912829" w:rsidP="00D1088C">
            <w:pPr>
              <w:rPr>
                <w:rFonts w:ascii="Arial" w:hAnsi="Arial" w:cs="Arial"/>
              </w:rPr>
            </w:pPr>
            <w:r w:rsidRPr="00D1088C">
              <w:rPr>
                <w:rFonts w:ascii="Arial" w:hAnsi="Arial" w:cs="Arial"/>
              </w:rPr>
              <w:t>Where there is significant inflammation of the chalazion a drop or ointment containing an antibiotic and steroid can be used along with other measures such as warm compresses. However, all use of topical steroids around the eye does</w:t>
            </w:r>
            <w:r w:rsidR="00D1088C" w:rsidRPr="00D1088C">
              <w:rPr>
                <w:rFonts w:ascii="Arial" w:hAnsi="Arial" w:cs="Arial"/>
              </w:rPr>
              <w:t xml:space="preserve"> carry the risk of raised intraocular pressure or cataract although this is very low with courses of less than 2 weeks.</w:t>
            </w:r>
          </w:p>
          <w:p w14:paraId="20AD56C1" w14:textId="77777777" w:rsidR="00912829" w:rsidRPr="00D1088C" w:rsidRDefault="00912829" w:rsidP="00A9417D">
            <w:pPr>
              <w:rPr>
                <w:rFonts w:ascii="Arial" w:hAnsi="Arial" w:cs="Arial"/>
              </w:rPr>
            </w:pPr>
          </w:p>
        </w:tc>
      </w:tr>
    </w:tbl>
    <w:p w14:paraId="7366E506" w14:textId="77777777" w:rsidR="00912829" w:rsidRPr="00D1088C" w:rsidRDefault="00912829" w:rsidP="00A9417D">
      <w:pPr>
        <w:rPr>
          <w:rFonts w:ascii="Arial" w:hAnsi="Arial" w:cs="Arial"/>
        </w:rPr>
        <w:sectPr w:rsidR="00912829" w:rsidRPr="00D1088C" w:rsidSect="00EB4DD7">
          <w:headerReference w:type="default" r:id="rId8"/>
          <w:pgSz w:w="11910" w:h="16840" w:code="9"/>
          <w:pgMar w:top="1340" w:right="1300" w:bottom="460" w:left="1200" w:header="288" w:footer="275" w:gutter="0"/>
          <w:cols w:space="720"/>
        </w:sectPr>
      </w:pPr>
    </w:p>
    <w:tbl>
      <w:tblPr>
        <w:tblW w:w="969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99"/>
      </w:tblGrid>
      <w:tr w:rsidR="00912829" w:rsidRPr="00D1088C" w14:paraId="31703A7C" w14:textId="77777777" w:rsidTr="00D1088C">
        <w:trPr>
          <w:trHeight w:val="5089"/>
        </w:trPr>
        <w:tc>
          <w:tcPr>
            <w:tcW w:w="9699" w:type="dxa"/>
          </w:tcPr>
          <w:p w14:paraId="4D6CFC68" w14:textId="77777777" w:rsidR="00912829" w:rsidRPr="00D1088C" w:rsidRDefault="00912829" w:rsidP="00A9417D">
            <w:pPr>
              <w:rPr>
                <w:rFonts w:ascii="Arial" w:hAnsi="Arial" w:cs="Arial"/>
              </w:rPr>
            </w:pPr>
          </w:p>
          <w:p w14:paraId="691C0AE7" w14:textId="77777777" w:rsidR="00912829" w:rsidRPr="00D1088C" w:rsidRDefault="00912829" w:rsidP="00A9417D">
            <w:pPr>
              <w:rPr>
                <w:rFonts w:ascii="Arial" w:hAnsi="Arial" w:cs="Arial"/>
              </w:rPr>
            </w:pPr>
            <w:r w:rsidRPr="00D1088C">
              <w:rPr>
                <w:rFonts w:ascii="Arial" w:hAnsi="Arial" w:cs="Arial"/>
              </w:rPr>
              <w:t xml:space="preserve">Many </w:t>
            </w:r>
            <w:proofErr w:type="spellStart"/>
            <w:r w:rsidRPr="00D1088C">
              <w:rPr>
                <w:rFonts w:ascii="Arial" w:hAnsi="Arial" w:cs="Arial"/>
              </w:rPr>
              <w:t>chalazia</w:t>
            </w:r>
            <w:proofErr w:type="spellEnd"/>
            <w:r w:rsidRPr="00D1088C">
              <w:rPr>
                <w:rFonts w:ascii="Arial" w:hAnsi="Arial" w:cs="Arial"/>
              </w:rPr>
              <w:t>, especially those that present acutely, resolve within six months and will not cause any harm however there are a small number which are persistent, very large, or can cause other problems such as distortion of vision.</w:t>
            </w:r>
          </w:p>
          <w:p w14:paraId="73DB3A0C" w14:textId="77777777" w:rsidR="00912829" w:rsidRPr="00D1088C" w:rsidRDefault="00912829" w:rsidP="00A9417D">
            <w:pPr>
              <w:rPr>
                <w:rFonts w:ascii="Arial" w:hAnsi="Arial" w:cs="Arial"/>
              </w:rPr>
            </w:pPr>
          </w:p>
          <w:p w14:paraId="3C4EE169" w14:textId="77777777" w:rsidR="00912829" w:rsidRPr="00D1088C" w:rsidRDefault="00912829" w:rsidP="00A9417D">
            <w:pPr>
              <w:rPr>
                <w:rFonts w:ascii="Arial" w:hAnsi="Arial" w:cs="Arial"/>
              </w:rPr>
            </w:pPr>
            <w:r w:rsidRPr="00D1088C">
              <w:rPr>
                <w:rFonts w:ascii="Arial" w:hAnsi="Arial" w:cs="Arial"/>
              </w:rPr>
              <w:t xml:space="preserve">In these cases surgery can remove the contents from a chalazion. However all surgery carries risks. Most people will experience some discomfort, swelling and often bruising of the eyelids and the cyst can take a few weeks to disappear even after successful surgery. Surgery also carries a small risk of infection, bleeding and scarring, and there is a remote but serious risk to the eye and vision from any procedure on the eyelids. Lastly in a proportion of successful procedures the chalazion can come back. The alternative option of an injection of a steroid (triamcinolone) also carries a small risk of serious complications such as </w:t>
            </w:r>
            <w:proofErr w:type="gramStart"/>
            <w:r w:rsidRPr="00D1088C">
              <w:rPr>
                <w:rFonts w:ascii="Arial" w:hAnsi="Arial" w:cs="Arial"/>
              </w:rPr>
              <w:t>raised  eye</w:t>
            </w:r>
            <w:proofErr w:type="gramEnd"/>
            <w:r w:rsidRPr="00D1088C">
              <w:rPr>
                <w:rFonts w:ascii="Arial" w:hAnsi="Arial" w:cs="Arial"/>
              </w:rPr>
              <w:t xml:space="preserve"> pressure, eye perforation or bleeding.</w:t>
            </w:r>
          </w:p>
          <w:p w14:paraId="392A4725" w14:textId="77777777" w:rsidR="00912829" w:rsidRPr="00D1088C" w:rsidRDefault="00912829" w:rsidP="00A9417D">
            <w:pPr>
              <w:rPr>
                <w:rFonts w:ascii="Arial" w:hAnsi="Arial" w:cs="Arial"/>
              </w:rPr>
            </w:pPr>
          </w:p>
          <w:p w14:paraId="25F833A7" w14:textId="77777777" w:rsidR="00912829" w:rsidRPr="00D1088C" w:rsidRDefault="00912829" w:rsidP="00A9417D">
            <w:pPr>
              <w:rPr>
                <w:rFonts w:ascii="Arial" w:hAnsi="Arial" w:cs="Arial"/>
              </w:rPr>
            </w:pPr>
            <w:r w:rsidRPr="00D1088C">
              <w:rPr>
                <w:rFonts w:ascii="Arial" w:hAnsi="Arial" w:cs="Arial"/>
              </w:rPr>
              <w:t xml:space="preserve">Some trials comparing the two treatments suggest that using a single triamcinolone acetonide injection followed by lid massage is almost as effective as incision and curettage in the treatment of </w:t>
            </w:r>
            <w:proofErr w:type="spellStart"/>
            <w:r w:rsidRPr="00D1088C">
              <w:rPr>
                <w:rFonts w:ascii="Arial" w:hAnsi="Arial" w:cs="Arial"/>
              </w:rPr>
              <w:t>chalazia</w:t>
            </w:r>
            <w:proofErr w:type="spellEnd"/>
            <w:r w:rsidRPr="00D1088C">
              <w:rPr>
                <w:rFonts w:ascii="Arial" w:hAnsi="Arial" w:cs="Arial"/>
              </w:rPr>
              <w:t xml:space="preserve"> and with similar patient satisfaction but less pain and patient inconvenience. However this is controversial and other studies show that steroid injection is less effective than surgery. Therefore both options can be considered for suitable patients.</w:t>
            </w:r>
          </w:p>
          <w:p w14:paraId="3DE26602" w14:textId="77777777" w:rsidR="00912829" w:rsidRPr="00D1088C" w:rsidRDefault="00912829" w:rsidP="00D1088C">
            <w:pPr>
              <w:rPr>
                <w:rFonts w:ascii="Arial" w:hAnsi="Arial" w:cs="Arial"/>
              </w:rPr>
            </w:pPr>
          </w:p>
        </w:tc>
      </w:tr>
      <w:tr w:rsidR="00D1088C" w:rsidRPr="00D1088C" w14:paraId="12A68D16" w14:textId="77777777" w:rsidTr="00D1088C">
        <w:trPr>
          <w:trHeight w:val="445"/>
        </w:trPr>
        <w:tc>
          <w:tcPr>
            <w:tcW w:w="9699" w:type="dxa"/>
            <w:shd w:val="clear" w:color="auto" w:fill="244061" w:themeFill="accent1" w:themeFillShade="80"/>
          </w:tcPr>
          <w:p w14:paraId="39808622" w14:textId="77777777" w:rsidR="00D1088C" w:rsidRPr="00D1088C" w:rsidRDefault="00D1088C" w:rsidP="00A9417D">
            <w:pPr>
              <w:rPr>
                <w:rFonts w:ascii="Arial" w:hAnsi="Arial" w:cs="Arial"/>
              </w:rPr>
            </w:pPr>
            <w:r w:rsidRPr="00D1088C">
              <w:rPr>
                <w:rFonts w:ascii="Arial" w:hAnsi="Arial" w:cs="Arial"/>
              </w:rPr>
              <w:t>References</w:t>
            </w:r>
          </w:p>
        </w:tc>
      </w:tr>
      <w:tr w:rsidR="00D1088C" w:rsidRPr="00D1088C" w14:paraId="3D63259E" w14:textId="77777777" w:rsidTr="00D1088C">
        <w:trPr>
          <w:trHeight w:val="2680"/>
        </w:trPr>
        <w:tc>
          <w:tcPr>
            <w:tcW w:w="9699" w:type="dxa"/>
          </w:tcPr>
          <w:p w14:paraId="1A7F4A74" w14:textId="77777777" w:rsidR="00EB4DD7" w:rsidRDefault="00EB4DD7" w:rsidP="00D1088C">
            <w:pPr>
              <w:rPr>
                <w:rFonts w:ascii="Arial" w:hAnsi="Arial" w:cs="Arial"/>
              </w:rPr>
            </w:pPr>
          </w:p>
          <w:p w14:paraId="2058063B" w14:textId="77777777" w:rsidR="00D1088C" w:rsidRPr="00D1088C" w:rsidRDefault="00D1088C" w:rsidP="00D1088C">
            <w:pPr>
              <w:rPr>
                <w:rFonts w:ascii="Arial" w:hAnsi="Arial" w:cs="Arial"/>
              </w:rPr>
            </w:pPr>
            <w:r w:rsidRPr="00D1088C">
              <w:rPr>
                <w:rFonts w:ascii="Arial" w:hAnsi="Arial" w:cs="Arial"/>
              </w:rPr>
              <w:t>NICE clinical knowledge summaries, https://cks.nice.org.uk/meibomian-cyst- chalazion</w:t>
            </w:r>
          </w:p>
          <w:p w14:paraId="6BF3C0D9" w14:textId="77777777" w:rsidR="00D1088C" w:rsidRPr="00D1088C" w:rsidRDefault="00D1088C" w:rsidP="00D1088C">
            <w:pPr>
              <w:rPr>
                <w:rFonts w:ascii="Arial" w:hAnsi="Arial" w:cs="Arial"/>
              </w:rPr>
            </w:pPr>
            <w:r w:rsidRPr="00D1088C">
              <w:rPr>
                <w:rFonts w:ascii="Arial" w:hAnsi="Arial" w:cs="Arial"/>
              </w:rPr>
              <w:t>Moorfield’s Eye Hospital Patient Information, https://</w:t>
            </w:r>
            <w:hyperlink r:id="rId9">
              <w:r w:rsidRPr="00D1088C">
                <w:rPr>
                  <w:rStyle w:val="Hyperlink"/>
                  <w:rFonts w:ascii="Arial" w:hAnsi="Arial" w:cs="Arial"/>
                </w:rPr>
                <w:t>www.moorfields.nhs.uk/sites/default/files/chalazion-adult.pdf</w:t>
              </w:r>
            </w:hyperlink>
          </w:p>
          <w:p w14:paraId="013A469D" w14:textId="77777777" w:rsidR="00D1088C" w:rsidRPr="00D1088C" w:rsidRDefault="00D1088C" w:rsidP="00D1088C">
            <w:pPr>
              <w:rPr>
                <w:rFonts w:ascii="Arial" w:hAnsi="Arial" w:cs="Arial"/>
              </w:rPr>
            </w:pPr>
            <w:r w:rsidRPr="00D1088C">
              <w:rPr>
                <w:rFonts w:ascii="Arial" w:hAnsi="Arial" w:cs="Arial"/>
              </w:rPr>
              <w:t xml:space="preserve">Wu AY, </w:t>
            </w:r>
            <w:proofErr w:type="spellStart"/>
            <w:r w:rsidRPr="00D1088C">
              <w:rPr>
                <w:rFonts w:ascii="Arial" w:hAnsi="Arial" w:cs="Arial"/>
              </w:rPr>
              <w:t>Gervasio</w:t>
            </w:r>
            <w:proofErr w:type="spellEnd"/>
            <w:r w:rsidRPr="00D1088C">
              <w:rPr>
                <w:rFonts w:ascii="Arial" w:hAnsi="Arial" w:cs="Arial"/>
              </w:rPr>
              <w:t xml:space="preserve"> KA, </w:t>
            </w:r>
            <w:proofErr w:type="spellStart"/>
            <w:r w:rsidRPr="00D1088C">
              <w:rPr>
                <w:rFonts w:ascii="Arial" w:hAnsi="Arial" w:cs="Arial"/>
              </w:rPr>
              <w:t>Gergoudis</w:t>
            </w:r>
            <w:proofErr w:type="spellEnd"/>
            <w:r w:rsidRPr="00D1088C">
              <w:rPr>
                <w:rFonts w:ascii="Arial" w:hAnsi="Arial" w:cs="Arial"/>
              </w:rPr>
              <w:t xml:space="preserve"> </w:t>
            </w:r>
            <w:proofErr w:type="spellStart"/>
            <w:r w:rsidRPr="00D1088C">
              <w:rPr>
                <w:rFonts w:ascii="Arial" w:hAnsi="Arial" w:cs="Arial"/>
              </w:rPr>
              <w:t>KN</w:t>
            </w:r>
            <w:proofErr w:type="spellEnd"/>
            <w:r w:rsidRPr="00D1088C">
              <w:rPr>
                <w:rFonts w:ascii="Arial" w:hAnsi="Arial" w:cs="Arial"/>
              </w:rPr>
              <w:t xml:space="preserve">, Wei C, </w:t>
            </w:r>
            <w:proofErr w:type="spellStart"/>
            <w:r w:rsidRPr="00D1088C">
              <w:rPr>
                <w:rFonts w:ascii="Arial" w:hAnsi="Arial" w:cs="Arial"/>
              </w:rPr>
              <w:t>Oestreicher</w:t>
            </w:r>
            <w:proofErr w:type="spellEnd"/>
            <w:r w:rsidRPr="00D1088C">
              <w:rPr>
                <w:rFonts w:ascii="Arial" w:hAnsi="Arial" w:cs="Arial"/>
              </w:rPr>
              <w:t xml:space="preserve"> JH, Harvey JT. Conservative therapy for </w:t>
            </w:r>
            <w:proofErr w:type="spellStart"/>
            <w:r w:rsidRPr="00D1088C">
              <w:rPr>
                <w:rFonts w:ascii="Arial" w:hAnsi="Arial" w:cs="Arial"/>
              </w:rPr>
              <w:t>chalazia</w:t>
            </w:r>
            <w:proofErr w:type="spellEnd"/>
            <w:r w:rsidRPr="00D1088C">
              <w:rPr>
                <w:rFonts w:ascii="Arial" w:hAnsi="Arial" w:cs="Arial"/>
              </w:rPr>
              <w:t xml:space="preserve">: is it </w:t>
            </w:r>
            <w:proofErr w:type="gramStart"/>
            <w:r w:rsidRPr="00D1088C">
              <w:rPr>
                <w:rFonts w:ascii="Arial" w:hAnsi="Arial" w:cs="Arial"/>
              </w:rPr>
              <w:t>really effective</w:t>
            </w:r>
            <w:proofErr w:type="gramEnd"/>
            <w:r w:rsidRPr="00D1088C">
              <w:rPr>
                <w:rFonts w:ascii="Arial" w:hAnsi="Arial" w:cs="Arial"/>
              </w:rPr>
              <w:t xml:space="preserve">? Acta </w:t>
            </w:r>
            <w:proofErr w:type="spellStart"/>
            <w:r w:rsidRPr="00D1088C">
              <w:rPr>
                <w:rFonts w:ascii="Arial" w:hAnsi="Arial" w:cs="Arial"/>
              </w:rPr>
              <w:t>Ophthalmol</w:t>
            </w:r>
            <w:proofErr w:type="spellEnd"/>
            <w:r w:rsidRPr="00D1088C">
              <w:rPr>
                <w:rFonts w:ascii="Arial" w:hAnsi="Arial" w:cs="Arial"/>
              </w:rPr>
              <w:t xml:space="preserve">. 2018 Jan 16. </w:t>
            </w:r>
            <w:proofErr w:type="spellStart"/>
            <w:r w:rsidRPr="00D1088C">
              <w:rPr>
                <w:rFonts w:ascii="Arial" w:hAnsi="Arial" w:cs="Arial"/>
              </w:rPr>
              <w:t>doi</w:t>
            </w:r>
            <w:proofErr w:type="spellEnd"/>
            <w:r w:rsidRPr="00D1088C">
              <w:rPr>
                <w:rFonts w:ascii="Arial" w:hAnsi="Arial" w:cs="Arial"/>
              </w:rPr>
              <w:t>: 10.1111/aos.13675. [</w:t>
            </w:r>
            <w:proofErr w:type="spellStart"/>
            <w:r w:rsidRPr="00D1088C">
              <w:rPr>
                <w:rFonts w:ascii="Arial" w:hAnsi="Arial" w:cs="Arial"/>
              </w:rPr>
              <w:t>Epub</w:t>
            </w:r>
            <w:proofErr w:type="spellEnd"/>
            <w:r w:rsidRPr="00D1088C">
              <w:rPr>
                <w:rFonts w:ascii="Arial" w:hAnsi="Arial" w:cs="Arial"/>
              </w:rPr>
              <w:t xml:space="preserve"> ahead of print] PubMed PMID: 29338124.</w:t>
            </w:r>
          </w:p>
          <w:p w14:paraId="33B3993A" w14:textId="77777777" w:rsidR="00D1088C" w:rsidRPr="00D1088C" w:rsidRDefault="00D1088C" w:rsidP="00D1088C">
            <w:pPr>
              <w:rPr>
                <w:rFonts w:ascii="Arial" w:hAnsi="Arial" w:cs="Arial"/>
              </w:rPr>
            </w:pPr>
            <w:proofErr w:type="spellStart"/>
            <w:r w:rsidRPr="00D1088C">
              <w:rPr>
                <w:rFonts w:ascii="Arial" w:hAnsi="Arial" w:cs="Arial"/>
              </w:rPr>
              <w:t>Goawalla</w:t>
            </w:r>
            <w:proofErr w:type="spellEnd"/>
            <w:r w:rsidRPr="00D1088C">
              <w:rPr>
                <w:rFonts w:ascii="Arial" w:hAnsi="Arial" w:cs="Arial"/>
              </w:rPr>
              <w:t xml:space="preserve"> A, Lee V. A prospective randomized treatment study comparing three treatment options for </w:t>
            </w:r>
            <w:proofErr w:type="spellStart"/>
            <w:r w:rsidRPr="00D1088C">
              <w:rPr>
                <w:rFonts w:ascii="Arial" w:hAnsi="Arial" w:cs="Arial"/>
              </w:rPr>
              <w:t>chalazia</w:t>
            </w:r>
            <w:proofErr w:type="spellEnd"/>
            <w:r w:rsidRPr="00D1088C">
              <w:rPr>
                <w:rFonts w:ascii="Arial" w:hAnsi="Arial" w:cs="Arial"/>
              </w:rPr>
              <w:t xml:space="preserve">: triamcinolone acetonide injections, incision and curettage and treatment with hot compresses. Clin Exp </w:t>
            </w:r>
            <w:proofErr w:type="spellStart"/>
            <w:r w:rsidRPr="00D1088C">
              <w:rPr>
                <w:rFonts w:ascii="Arial" w:hAnsi="Arial" w:cs="Arial"/>
              </w:rPr>
              <w:t>Ophthalmol</w:t>
            </w:r>
            <w:proofErr w:type="spellEnd"/>
            <w:r w:rsidRPr="00D1088C">
              <w:rPr>
                <w:rFonts w:ascii="Arial" w:hAnsi="Arial" w:cs="Arial"/>
              </w:rPr>
              <w:t>. 2007 Nov;35(8):706-12. PubMed PMID: 17997772.</w:t>
            </w:r>
          </w:p>
          <w:p w14:paraId="0C0A15A6" w14:textId="77777777" w:rsidR="00D1088C" w:rsidRPr="00D1088C" w:rsidRDefault="00D1088C" w:rsidP="00D1088C">
            <w:pPr>
              <w:rPr>
                <w:rFonts w:ascii="Arial" w:hAnsi="Arial" w:cs="Arial"/>
              </w:rPr>
            </w:pPr>
            <w:r w:rsidRPr="00D1088C">
              <w:rPr>
                <w:rFonts w:ascii="Arial" w:hAnsi="Arial" w:cs="Arial"/>
              </w:rPr>
              <w:t>Watson P, Austin DJ. Treatment of chalazions with injection of a steroid Suspension. British Journal of Ophthalmology, 1984, 68, 833-835.</w:t>
            </w:r>
          </w:p>
          <w:p w14:paraId="79ED3C88" w14:textId="77777777" w:rsidR="00D1088C" w:rsidRPr="00D1088C" w:rsidRDefault="00D1088C" w:rsidP="00D1088C">
            <w:pPr>
              <w:rPr>
                <w:rFonts w:ascii="Arial" w:hAnsi="Arial" w:cs="Arial"/>
              </w:rPr>
            </w:pPr>
            <w:r w:rsidRPr="00D1088C">
              <w:rPr>
                <w:rFonts w:ascii="Arial" w:hAnsi="Arial" w:cs="Arial"/>
              </w:rPr>
              <w:t xml:space="preserve">Ben Simon, G.J., Huang, L., </w:t>
            </w:r>
            <w:proofErr w:type="spellStart"/>
            <w:r w:rsidRPr="00D1088C">
              <w:rPr>
                <w:rFonts w:ascii="Arial" w:hAnsi="Arial" w:cs="Arial"/>
              </w:rPr>
              <w:t>Nakra</w:t>
            </w:r>
            <w:proofErr w:type="spellEnd"/>
            <w:r w:rsidRPr="00D1088C">
              <w:rPr>
                <w:rFonts w:ascii="Arial" w:hAnsi="Arial" w:cs="Arial"/>
              </w:rPr>
              <w:t xml:space="preserve">, T. et al. Intralesional triamcinolone acetonide injection for primary and recurrent </w:t>
            </w:r>
            <w:proofErr w:type="spellStart"/>
            <w:r w:rsidRPr="00D1088C">
              <w:rPr>
                <w:rFonts w:ascii="Arial" w:hAnsi="Arial" w:cs="Arial"/>
              </w:rPr>
              <w:t>chalazia</w:t>
            </w:r>
            <w:proofErr w:type="spellEnd"/>
            <w:r w:rsidRPr="00D1088C">
              <w:rPr>
                <w:rFonts w:ascii="Arial" w:hAnsi="Arial" w:cs="Arial"/>
              </w:rPr>
              <w:t xml:space="preserve"> (is it really effective?</w:t>
            </w:r>
            <w:proofErr w:type="gramStart"/>
            <w:r w:rsidRPr="00D1088C">
              <w:rPr>
                <w:rFonts w:ascii="Arial" w:hAnsi="Arial" w:cs="Arial"/>
              </w:rPr>
              <w:t>) .</w:t>
            </w:r>
            <w:proofErr w:type="gramEnd"/>
            <w:r w:rsidRPr="00D1088C">
              <w:rPr>
                <w:rFonts w:ascii="Arial" w:hAnsi="Arial" w:cs="Arial"/>
              </w:rPr>
              <w:t xml:space="preserve"> Ophthalmology. 2005; 112: 913–917.</w:t>
            </w:r>
          </w:p>
          <w:p w14:paraId="1D3830F2" w14:textId="77777777" w:rsidR="00D1088C" w:rsidRPr="00D1088C" w:rsidRDefault="00D1088C" w:rsidP="00D1088C">
            <w:pPr>
              <w:rPr>
                <w:rFonts w:ascii="Arial" w:hAnsi="Arial" w:cs="Arial"/>
              </w:rPr>
            </w:pPr>
            <w:proofErr w:type="spellStart"/>
            <w:r w:rsidRPr="00D1088C">
              <w:rPr>
                <w:rFonts w:ascii="Arial" w:hAnsi="Arial" w:cs="Arial"/>
              </w:rPr>
              <w:t>Papalkar</w:t>
            </w:r>
            <w:proofErr w:type="spellEnd"/>
            <w:r w:rsidRPr="00D1088C">
              <w:rPr>
                <w:rFonts w:ascii="Arial" w:hAnsi="Arial" w:cs="Arial"/>
              </w:rPr>
              <w:t xml:space="preserve"> D, Francis IC. Injections for </w:t>
            </w:r>
            <w:proofErr w:type="spellStart"/>
            <w:r w:rsidRPr="00D1088C">
              <w:rPr>
                <w:rFonts w:ascii="Arial" w:hAnsi="Arial" w:cs="Arial"/>
              </w:rPr>
              <w:t>Chalazia</w:t>
            </w:r>
            <w:proofErr w:type="spellEnd"/>
            <w:r w:rsidRPr="00D1088C">
              <w:rPr>
                <w:rFonts w:ascii="Arial" w:hAnsi="Arial" w:cs="Arial"/>
              </w:rPr>
              <w:t xml:space="preserve">? Ophthalmology 2006; 113:355–356. Incision and curettage vs steroid injection for the treatment of </w:t>
            </w:r>
            <w:proofErr w:type="spellStart"/>
            <w:r w:rsidRPr="00D1088C">
              <w:rPr>
                <w:rFonts w:ascii="Arial" w:hAnsi="Arial" w:cs="Arial"/>
              </w:rPr>
              <w:t>chalazia</w:t>
            </w:r>
            <w:proofErr w:type="spellEnd"/>
            <w:r w:rsidRPr="00D1088C">
              <w:rPr>
                <w:rFonts w:ascii="Arial" w:hAnsi="Arial" w:cs="Arial"/>
              </w:rPr>
              <w:t xml:space="preserve">: a </w:t>
            </w:r>
            <w:proofErr w:type="spellStart"/>
            <w:r w:rsidRPr="00D1088C">
              <w:rPr>
                <w:rFonts w:ascii="Arial" w:hAnsi="Arial" w:cs="Arial"/>
              </w:rPr>
              <w:t>metaanalysis</w:t>
            </w:r>
            <w:proofErr w:type="spellEnd"/>
            <w:r w:rsidRPr="00D1088C">
              <w:rPr>
                <w:rFonts w:ascii="Arial" w:hAnsi="Arial" w:cs="Arial"/>
              </w:rPr>
              <w:t xml:space="preserve">. </w:t>
            </w:r>
            <w:proofErr w:type="spellStart"/>
            <w:r w:rsidRPr="00D1088C">
              <w:rPr>
                <w:rFonts w:ascii="Arial" w:hAnsi="Arial" w:cs="Arial"/>
              </w:rPr>
              <w:t>Aycinena</w:t>
            </w:r>
            <w:proofErr w:type="spellEnd"/>
            <w:r w:rsidRPr="00D1088C">
              <w:rPr>
                <w:rFonts w:ascii="Arial" w:hAnsi="Arial" w:cs="Arial"/>
              </w:rPr>
              <w:t xml:space="preserve"> A, </w:t>
            </w:r>
            <w:proofErr w:type="spellStart"/>
            <w:r w:rsidRPr="00D1088C">
              <w:rPr>
                <w:rFonts w:ascii="Arial" w:hAnsi="Arial" w:cs="Arial"/>
              </w:rPr>
              <w:t>Achrion</w:t>
            </w:r>
            <w:proofErr w:type="spellEnd"/>
            <w:r w:rsidRPr="00D1088C">
              <w:rPr>
                <w:rFonts w:ascii="Arial" w:hAnsi="Arial" w:cs="Arial"/>
              </w:rPr>
              <w:t xml:space="preserve"> A et al. Ophthalmic Plastic and reconstructive surgery. </w:t>
            </w:r>
            <w:proofErr w:type="gramStart"/>
            <w:r w:rsidRPr="00D1088C">
              <w:rPr>
                <w:rFonts w:ascii="Arial" w:hAnsi="Arial" w:cs="Arial"/>
              </w:rPr>
              <w:t>2016;32:220</w:t>
            </w:r>
            <w:proofErr w:type="gramEnd"/>
            <w:r w:rsidRPr="00D1088C">
              <w:rPr>
                <w:rFonts w:ascii="Arial" w:hAnsi="Arial" w:cs="Arial"/>
              </w:rPr>
              <w:t>-224.</w:t>
            </w:r>
          </w:p>
          <w:p w14:paraId="0FBA75A1" w14:textId="77777777" w:rsidR="00D1088C" w:rsidRDefault="00D1088C" w:rsidP="00D1088C">
            <w:pPr>
              <w:rPr>
                <w:rFonts w:ascii="Arial" w:hAnsi="Arial" w:cs="Arial"/>
              </w:rPr>
            </w:pPr>
            <w:r w:rsidRPr="00D1088C">
              <w:rPr>
                <w:rFonts w:ascii="Arial" w:hAnsi="Arial" w:cs="Arial"/>
              </w:rPr>
              <w:t xml:space="preserve">9. </w:t>
            </w:r>
            <w:proofErr w:type="spellStart"/>
            <w:r w:rsidRPr="00D1088C">
              <w:rPr>
                <w:rFonts w:ascii="Arial" w:hAnsi="Arial" w:cs="Arial"/>
              </w:rPr>
              <w:t>McStay</w:t>
            </w:r>
            <w:proofErr w:type="spellEnd"/>
            <w:r w:rsidRPr="00D1088C">
              <w:rPr>
                <w:rFonts w:ascii="Arial" w:hAnsi="Arial" w:cs="Arial"/>
              </w:rPr>
              <w:t>. Stye and Chalazion. BMJ Best Practice https://bestpractice.bmj.com/topics/en-gb/214 (accessed 18/10/18)</w:t>
            </w:r>
          </w:p>
          <w:p w14:paraId="7F3F606D" w14:textId="77777777" w:rsidR="00D1088C" w:rsidRPr="00D1088C" w:rsidRDefault="00D1088C" w:rsidP="00D1088C">
            <w:pPr>
              <w:rPr>
                <w:rFonts w:ascii="Arial" w:hAnsi="Arial" w:cs="Arial"/>
              </w:rPr>
            </w:pPr>
          </w:p>
        </w:tc>
      </w:tr>
    </w:tbl>
    <w:p w14:paraId="1FA6E728" w14:textId="77777777" w:rsidR="00D1088C" w:rsidRPr="00D1088C" w:rsidRDefault="00D1088C" w:rsidP="00D1088C">
      <w:pPr>
        <w:pBdr>
          <w:bottom w:val="single" w:sz="12" w:space="1" w:color="auto"/>
        </w:pBdr>
        <w:rPr>
          <w:rFonts w:ascii="Arial" w:hAnsi="Arial" w:cs="Arial"/>
        </w:rPr>
      </w:pPr>
    </w:p>
    <w:p w14:paraId="60FEAB51" w14:textId="77777777" w:rsidR="00D1088C" w:rsidRPr="00D1088C" w:rsidRDefault="00D1088C" w:rsidP="00D1088C">
      <w:pPr>
        <w:rPr>
          <w:rFonts w:ascii="Arial" w:hAnsi="Arial" w:cs="Arial"/>
        </w:rPr>
      </w:pPr>
    </w:p>
    <w:p w14:paraId="24FF2EB3" w14:textId="77777777" w:rsidR="00D1088C" w:rsidRPr="00D1088C" w:rsidRDefault="00D1088C" w:rsidP="002778A2">
      <w:pPr>
        <w:ind w:left="-426"/>
        <w:rPr>
          <w:rFonts w:ascii="Arial" w:hAnsi="Arial" w:cs="Arial"/>
          <w:i/>
        </w:rPr>
      </w:pPr>
      <w:r w:rsidRPr="00D1088C">
        <w:rPr>
          <w:rFonts w:ascii="Arial" w:hAnsi="Arial" w:cs="Arial"/>
          <w:i/>
        </w:rPr>
        <w:t>Evidence-Based Interventions: Guidance for CCGs</w:t>
      </w:r>
    </w:p>
    <w:p w14:paraId="6CAF4E8F" w14:textId="77777777" w:rsidR="00D1088C" w:rsidRPr="00D1088C" w:rsidRDefault="00D1088C" w:rsidP="002778A2">
      <w:pPr>
        <w:ind w:left="-426"/>
        <w:rPr>
          <w:rFonts w:ascii="Arial" w:hAnsi="Arial" w:cs="Arial"/>
          <w:i/>
        </w:rPr>
      </w:pPr>
      <w:r w:rsidRPr="00D1088C">
        <w:rPr>
          <w:rFonts w:ascii="Arial" w:hAnsi="Arial" w:cs="Arial"/>
          <w:i/>
        </w:rPr>
        <w:t>Published by NHS England in partnership with NHS Clinical Commissioners, the Academy of Medical Royal Colleges, NHS Improvement and the National Institute for Health and Care Excellence</w:t>
      </w:r>
    </w:p>
    <w:p w14:paraId="1C65B35F" w14:textId="77777777" w:rsidR="00D1088C" w:rsidRPr="00D1088C" w:rsidRDefault="00D1088C" w:rsidP="002778A2">
      <w:pPr>
        <w:ind w:left="-426"/>
        <w:rPr>
          <w:rFonts w:ascii="Arial" w:hAnsi="Arial" w:cs="Arial"/>
          <w:i/>
        </w:rPr>
      </w:pPr>
      <w:r w:rsidRPr="00D1088C">
        <w:rPr>
          <w:rFonts w:ascii="Arial" w:hAnsi="Arial" w:cs="Arial"/>
          <w:i/>
        </w:rPr>
        <w:t>Version number: 1</w:t>
      </w:r>
    </w:p>
    <w:p w14:paraId="049EFAE3" w14:textId="77777777" w:rsidR="00D1088C" w:rsidRPr="00D1088C" w:rsidRDefault="00D1088C" w:rsidP="002778A2">
      <w:pPr>
        <w:ind w:left="-426"/>
        <w:rPr>
          <w:rFonts w:ascii="Arial" w:hAnsi="Arial" w:cs="Arial"/>
          <w:i/>
        </w:rPr>
      </w:pPr>
      <w:r w:rsidRPr="00D1088C">
        <w:rPr>
          <w:rFonts w:ascii="Arial" w:hAnsi="Arial" w:cs="Arial"/>
          <w:i/>
        </w:rPr>
        <w:t>First published: 28 November 2018</w:t>
      </w:r>
    </w:p>
    <w:p w14:paraId="620B92DB" w14:textId="77777777" w:rsidR="00D1088C" w:rsidRPr="00D1088C" w:rsidRDefault="00D1088C" w:rsidP="002778A2">
      <w:pPr>
        <w:ind w:left="-426"/>
        <w:rPr>
          <w:rFonts w:ascii="Arial" w:hAnsi="Arial" w:cs="Arial"/>
          <w:i/>
        </w:rPr>
      </w:pPr>
      <w:r w:rsidRPr="00D1088C">
        <w:rPr>
          <w:rFonts w:ascii="Arial" w:hAnsi="Arial" w:cs="Arial"/>
          <w:i/>
        </w:rPr>
        <w:t>Prepared by: NHS England Medical directorate and Strategy and Innovation directorate</w:t>
      </w:r>
    </w:p>
    <w:p w14:paraId="710DC4D5" w14:textId="77777777" w:rsidR="00D1088C" w:rsidRPr="00D1088C" w:rsidRDefault="00D1088C" w:rsidP="002778A2">
      <w:pPr>
        <w:ind w:left="-426"/>
        <w:rPr>
          <w:rFonts w:ascii="Arial" w:hAnsi="Arial" w:cs="Arial"/>
          <w:i/>
        </w:rPr>
      </w:pPr>
      <w:r w:rsidRPr="00D1088C">
        <w:rPr>
          <w:rFonts w:ascii="Arial" w:hAnsi="Arial" w:cs="Arial"/>
          <w:i/>
        </w:rPr>
        <w:t>Classification: OFFICIAL</w:t>
      </w:r>
    </w:p>
    <w:p w14:paraId="38450116" w14:textId="77777777" w:rsidR="00D1088C" w:rsidRPr="00D1088C" w:rsidRDefault="00D1088C" w:rsidP="002778A2">
      <w:pPr>
        <w:ind w:left="-426"/>
        <w:rPr>
          <w:rFonts w:ascii="Arial" w:hAnsi="Arial" w:cs="Arial"/>
          <w:i/>
        </w:rPr>
      </w:pPr>
      <w:r w:rsidRPr="00D1088C">
        <w:rPr>
          <w:rFonts w:ascii="Arial" w:hAnsi="Arial" w:cs="Arial"/>
          <w:i/>
        </w:rPr>
        <w:t>NHS England Publications Gateway Reference: 08659</w:t>
      </w:r>
    </w:p>
    <w:p w14:paraId="4A477D70" w14:textId="77777777" w:rsidR="00D1088C" w:rsidRPr="00D1088C" w:rsidRDefault="00D1088C" w:rsidP="00D1088C">
      <w:pPr>
        <w:rPr>
          <w:rFonts w:ascii="Arial" w:hAnsi="Arial" w:cs="Arial"/>
        </w:rPr>
      </w:pPr>
    </w:p>
    <w:sectPr w:rsidR="00D1088C" w:rsidRPr="00D1088C" w:rsidSect="002778A2">
      <w:pgSz w:w="11910" w:h="16840" w:code="9"/>
      <w:pgMar w:top="1440" w:right="180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AEEF" w14:textId="77777777" w:rsidR="00D1088C" w:rsidRDefault="00D1088C" w:rsidP="00D1088C">
      <w:r>
        <w:separator/>
      </w:r>
    </w:p>
  </w:endnote>
  <w:endnote w:type="continuationSeparator" w:id="0">
    <w:p w14:paraId="6E45016A" w14:textId="77777777" w:rsidR="00D1088C" w:rsidRDefault="00D1088C" w:rsidP="00D1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005D" w14:textId="77777777" w:rsidR="00D1088C" w:rsidRDefault="00D1088C" w:rsidP="00D1088C">
      <w:r>
        <w:separator/>
      </w:r>
    </w:p>
  </w:footnote>
  <w:footnote w:type="continuationSeparator" w:id="0">
    <w:p w14:paraId="0BE1A32A" w14:textId="77777777" w:rsidR="00D1088C" w:rsidRDefault="00D1088C" w:rsidP="00D10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2C86" w14:textId="77777777" w:rsidR="00D1088C" w:rsidRDefault="00D1088C">
    <w:pPr>
      <w:pStyle w:val="Header"/>
    </w:pPr>
  </w:p>
  <w:p w14:paraId="2031FAA1" w14:textId="77777777" w:rsidR="00D1088C" w:rsidRDefault="00D1088C">
    <w:pPr>
      <w:pStyle w:val="Header"/>
    </w:pPr>
    <w:r w:rsidRPr="00573022">
      <w:rPr>
        <w:noProof/>
        <w:lang w:val="en-GB" w:eastAsia="en-GB"/>
      </w:rPr>
      <w:drawing>
        <wp:inline distT="0" distB="0" distL="0" distR="0" wp14:anchorId="1FA1E794" wp14:editId="213DC906">
          <wp:extent cx="3992880" cy="766769"/>
          <wp:effectExtent l="0" t="0" r="7620" b="0"/>
          <wp:docPr id="4" name="Picture 6" descr="Frimley Health and Care logo Final RGB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Frimley Health and Care logo Final RGB HIGH res.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94498" cy="767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75236"/>
    <w:multiLevelType w:val="hybridMultilevel"/>
    <w:tmpl w:val="4EA2FA04"/>
    <w:lvl w:ilvl="0" w:tplc="2CF63F6E">
      <w:numFmt w:val="bullet"/>
      <w:lvlText w:val="□"/>
      <w:lvlJc w:val="left"/>
      <w:pPr>
        <w:ind w:left="827" w:hanging="361"/>
      </w:pPr>
      <w:rPr>
        <w:rFonts w:ascii="Times New Roman" w:eastAsia="Times New Roman" w:hAnsi="Times New Roman" w:cs="Times New Roman" w:hint="default"/>
        <w:w w:val="75"/>
        <w:sz w:val="24"/>
        <w:szCs w:val="24"/>
      </w:rPr>
    </w:lvl>
    <w:lvl w:ilvl="1" w:tplc="EB443BD2">
      <w:numFmt w:val="bullet"/>
      <w:lvlText w:val="•"/>
      <w:lvlJc w:val="left"/>
      <w:pPr>
        <w:ind w:left="1642" w:hanging="361"/>
      </w:pPr>
      <w:rPr>
        <w:rFonts w:hint="default"/>
      </w:rPr>
    </w:lvl>
    <w:lvl w:ilvl="2" w:tplc="53241054">
      <w:numFmt w:val="bullet"/>
      <w:lvlText w:val="•"/>
      <w:lvlJc w:val="left"/>
      <w:pPr>
        <w:ind w:left="2465" w:hanging="361"/>
      </w:pPr>
      <w:rPr>
        <w:rFonts w:hint="default"/>
      </w:rPr>
    </w:lvl>
    <w:lvl w:ilvl="3" w:tplc="E9DE88C2">
      <w:numFmt w:val="bullet"/>
      <w:lvlText w:val="•"/>
      <w:lvlJc w:val="left"/>
      <w:pPr>
        <w:ind w:left="3287" w:hanging="361"/>
      </w:pPr>
      <w:rPr>
        <w:rFonts w:hint="default"/>
      </w:rPr>
    </w:lvl>
    <w:lvl w:ilvl="4" w:tplc="18D4DC82">
      <w:numFmt w:val="bullet"/>
      <w:lvlText w:val="•"/>
      <w:lvlJc w:val="left"/>
      <w:pPr>
        <w:ind w:left="4110" w:hanging="361"/>
      </w:pPr>
      <w:rPr>
        <w:rFonts w:hint="default"/>
      </w:rPr>
    </w:lvl>
    <w:lvl w:ilvl="5" w:tplc="106A27F4">
      <w:numFmt w:val="bullet"/>
      <w:lvlText w:val="•"/>
      <w:lvlJc w:val="left"/>
      <w:pPr>
        <w:ind w:left="4932" w:hanging="361"/>
      </w:pPr>
      <w:rPr>
        <w:rFonts w:hint="default"/>
      </w:rPr>
    </w:lvl>
    <w:lvl w:ilvl="6" w:tplc="2F3442CE">
      <w:numFmt w:val="bullet"/>
      <w:lvlText w:val="•"/>
      <w:lvlJc w:val="left"/>
      <w:pPr>
        <w:ind w:left="5755" w:hanging="361"/>
      </w:pPr>
      <w:rPr>
        <w:rFonts w:hint="default"/>
      </w:rPr>
    </w:lvl>
    <w:lvl w:ilvl="7" w:tplc="379014D0">
      <w:numFmt w:val="bullet"/>
      <w:lvlText w:val="•"/>
      <w:lvlJc w:val="left"/>
      <w:pPr>
        <w:ind w:left="6577" w:hanging="361"/>
      </w:pPr>
      <w:rPr>
        <w:rFonts w:hint="default"/>
      </w:rPr>
    </w:lvl>
    <w:lvl w:ilvl="8" w:tplc="E132CFDE">
      <w:numFmt w:val="bullet"/>
      <w:lvlText w:val="•"/>
      <w:lvlJc w:val="left"/>
      <w:pPr>
        <w:ind w:left="7400" w:hanging="361"/>
      </w:pPr>
      <w:rPr>
        <w:rFonts w:hint="default"/>
      </w:rPr>
    </w:lvl>
  </w:abstractNum>
  <w:abstractNum w:abstractNumId="1" w15:restartNumberingAfterBreak="0">
    <w:nsid w:val="693A31B8"/>
    <w:multiLevelType w:val="hybridMultilevel"/>
    <w:tmpl w:val="4AF401EC"/>
    <w:lvl w:ilvl="0" w:tplc="100AB976">
      <w:start w:val="1"/>
      <w:numFmt w:val="upperLetter"/>
      <w:lvlText w:val="%1."/>
      <w:lvlJc w:val="left"/>
      <w:pPr>
        <w:ind w:left="218" w:hanging="310"/>
        <w:jc w:val="left"/>
      </w:pPr>
      <w:rPr>
        <w:rFonts w:ascii="Times New Roman" w:eastAsia="Times New Roman" w:hAnsi="Times New Roman" w:cs="Times New Roman" w:hint="default"/>
        <w:spacing w:val="-6"/>
        <w:w w:val="99"/>
        <w:sz w:val="24"/>
        <w:szCs w:val="24"/>
      </w:rPr>
    </w:lvl>
    <w:lvl w:ilvl="1" w:tplc="891ECDCC">
      <w:numFmt w:val="bullet"/>
      <w:lvlText w:val="•"/>
      <w:lvlJc w:val="left"/>
      <w:pPr>
        <w:ind w:left="1138" w:hanging="310"/>
      </w:pPr>
      <w:rPr>
        <w:rFonts w:hint="default"/>
      </w:rPr>
    </w:lvl>
    <w:lvl w:ilvl="2" w:tplc="C212A108">
      <w:numFmt w:val="bullet"/>
      <w:lvlText w:val="•"/>
      <w:lvlJc w:val="left"/>
      <w:pPr>
        <w:ind w:left="2057" w:hanging="310"/>
      </w:pPr>
      <w:rPr>
        <w:rFonts w:hint="default"/>
      </w:rPr>
    </w:lvl>
    <w:lvl w:ilvl="3" w:tplc="2A7A1890">
      <w:numFmt w:val="bullet"/>
      <w:lvlText w:val="•"/>
      <w:lvlJc w:val="left"/>
      <w:pPr>
        <w:ind w:left="2975" w:hanging="310"/>
      </w:pPr>
      <w:rPr>
        <w:rFonts w:hint="default"/>
      </w:rPr>
    </w:lvl>
    <w:lvl w:ilvl="4" w:tplc="CFAC6E8C">
      <w:numFmt w:val="bullet"/>
      <w:lvlText w:val="•"/>
      <w:lvlJc w:val="left"/>
      <w:pPr>
        <w:ind w:left="3894" w:hanging="310"/>
      </w:pPr>
      <w:rPr>
        <w:rFonts w:hint="default"/>
      </w:rPr>
    </w:lvl>
    <w:lvl w:ilvl="5" w:tplc="535C8206">
      <w:numFmt w:val="bullet"/>
      <w:lvlText w:val="•"/>
      <w:lvlJc w:val="left"/>
      <w:pPr>
        <w:ind w:left="4813" w:hanging="310"/>
      </w:pPr>
      <w:rPr>
        <w:rFonts w:hint="default"/>
      </w:rPr>
    </w:lvl>
    <w:lvl w:ilvl="6" w:tplc="B41C0758">
      <w:numFmt w:val="bullet"/>
      <w:lvlText w:val="•"/>
      <w:lvlJc w:val="left"/>
      <w:pPr>
        <w:ind w:left="5731" w:hanging="310"/>
      </w:pPr>
      <w:rPr>
        <w:rFonts w:hint="default"/>
      </w:rPr>
    </w:lvl>
    <w:lvl w:ilvl="7" w:tplc="0A68A112">
      <w:numFmt w:val="bullet"/>
      <w:lvlText w:val="•"/>
      <w:lvlJc w:val="left"/>
      <w:pPr>
        <w:ind w:left="6650" w:hanging="310"/>
      </w:pPr>
      <w:rPr>
        <w:rFonts w:hint="default"/>
      </w:rPr>
    </w:lvl>
    <w:lvl w:ilvl="8" w:tplc="B6D6E77C">
      <w:numFmt w:val="bullet"/>
      <w:lvlText w:val="•"/>
      <w:lvlJc w:val="left"/>
      <w:pPr>
        <w:ind w:left="7569" w:hanging="310"/>
      </w:pPr>
      <w:rPr>
        <w:rFonts w:hint="default"/>
      </w:rPr>
    </w:lvl>
  </w:abstractNum>
  <w:abstractNum w:abstractNumId="2" w15:restartNumberingAfterBreak="0">
    <w:nsid w:val="7A381BF0"/>
    <w:multiLevelType w:val="hybridMultilevel"/>
    <w:tmpl w:val="E0281CF0"/>
    <w:lvl w:ilvl="0" w:tplc="A54284FC">
      <w:start w:val="1"/>
      <w:numFmt w:val="decimal"/>
      <w:lvlText w:val="%1."/>
      <w:lvlJc w:val="left"/>
      <w:pPr>
        <w:ind w:left="815" w:hanging="360"/>
        <w:jc w:val="left"/>
      </w:pPr>
      <w:rPr>
        <w:rFonts w:ascii="Times New Roman" w:eastAsia="Times New Roman" w:hAnsi="Times New Roman" w:cs="Times New Roman" w:hint="default"/>
        <w:w w:val="110"/>
        <w:sz w:val="24"/>
        <w:szCs w:val="24"/>
      </w:rPr>
    </w:lvl>
    <w:lvl w:ilvl="1" w:tplc="50C4D194">
      <w:numFmt w:val="bullet"/>
      <w:lvlText w:val="•"/>
      <w:lvlJc w:val="left"/>
      <w:pPr>
        <w:ind w:left="1642" w:hanging="360"/>
      </w:pPr>
      <w:rPr>
        <w:rFonts w:hint="default"/>
      </w:rPr>
    </w:lvl>
    <w:lvl w:ilvl="2" w:tplc="D08AB94C">
      <w:numFmt w:val="bullet"/>
      <w:lvlText w:val="•"/>
      <w:lvlJc w:val="left"/>
      <w:pPr>
        <w:ind w:left="2465" w:hanging="360"/>
      </w:pPr>
      <w:rPr>
        <w:rFonts w:hint="default"/>
      </w:rPr>
    </w:lvl>
    <w:lvl w:ilvl="3" w:tplc="35CC38CC">
      <w:numFmt w:val="bullet"/>
      <w:lvlText w:val="•"/>
      <w:lvlJc w:val="left"/>
      <w:pPr>
        <w:ind w:left="3287" w:hanging="360"/>
      </w:pPr>
      <w:rPr>
        <w:rFonts w:hint="default"/>
      </w:rPr>
    </w:lvl>
    <w:lvl w:ilvl="4" w:tplc="36026A7A">
      <w:numFmt w:val="bullet"/>
      <w:lvlText w:val="•"/>
      <w:lvlJc w:val="left"/>
      <w:pPr>
        <w:ind w:left="4110" w:hanging="360"/>
      </w:pPr>
      <w:rPr>
        <w:rFonts w:hint="default"/>
      </w:rPr>
    </w:lvl>
    <w:lvl w:ilvl="5" w:tplc="21588C72">
      <w:numFmt w:val="bullet"/>
      <w:lvlText w:val="•"/>
      <w:lvlJc w:val="left"/>
      <w:pPr>
        <w:ind w:left="4932" w:hanging="360"/>
      </w:pPr>
      <w:rPr>
        <w:rFonts w:hint="default"/>
      </w:rPr>
    </w:lvl>
    <w:lvl w:ilvl="6" w:tplc="7AF6C48C">
      <w:numFmt w:val="bullet"/>
      <w:lvlText w:val="•"/>
      <w:lvlJc w:val="left"/>
      <w:pPr>
        <w:ind w:left="5755" w:hanging="360"/>
      </w:pPr>
      <w:rPr>
        <w:rFonts w:hint="default"/>
      </w:rPr>
    </w:lvl>
    <w:lvl w:ilvl="7" w:tplc="E1146BC8">
      <w:numFmt w:val="bullet"/>
      <w:lvlText w:val="•"/>
      <w:lvlJc w:val="left"/>
      <w:pPr>
        <w:ind w:left="6577" w:hanging="360"/>
      </w:pPr>
      <w:rPr>
        <w:rFonts w:hint="default"/>
      </w:rPr>
    </w:lvl>
    <w:lvl w:ilvl="8" w:tplc="6D30323E">
      <w:numFmt w:val="bullet"/>
      <w:lvlText w:val="•"/>
      <w:lvlJc w:val="left"/>
      <w:pPr>
        <w:ind w:left="7400" w:hanging="360"/>
      </w:pPr>
      <w:rPr>
        <w:rFonts w:hint="default"/>
      </w:rPr>
    </w:lvl>
  </w:abstractNum>
  <w:num w:numId="1" w16cid:durableId="407920523">
    <w:abstractNumId w:val="2"/>
  </w:num>
  <w:num w:numId="2" w16cid:durableId="1736124099">
    <w:abstractNumId w:val="0"/>
  </w:num>
  <w:num w:numId="3" w16cid:durableId="338435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829"/>
    <w:rsid w:val="002778A2"/>
    <w:rsid w:val="0065099C"/>
    <w:rsid w:val="00912829"/>
    <w:rsid w:val="00A9417D"/>
    <w:rsid w:val="00D1088C"/>
    <w:rsid w:val="00EB4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1E642"/>
  <w15:docId w15:val="{FEBD85B3-B421-4BEC-A1FB-A797D313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912829"/>
    <w:pPr>
      <w:widowControl w:val="0"/>
      <w:autoSpaceDE w:val="0"/>
      <w:autoSpaceDN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2829"/>
    <w:rPr>
      <w:sz w:val="24"/>
      <w:szCs w:val="24"/>
    </w:rPr>
  </w:style>
  <w:style w:type="character" w:customStyle="1" w:styleId="BodyTextChar">
    <w:name w:val="Body Text Char"/>
    <w:basedOn w:val="DefaultParagraphFont"/>
    <w:link w:val="BodyText"/>
    <w:uiPriority w:val="1"/>
    <w:rsid w:val="00912829"/>
    <w:rPr>
      <w:sz w:val="24"/>
      <w:szCs w:val="24"/>
      <w:lang w:val="en-US" w:eastAsia="en-US"/>
    </w:rPr>
  </w:style>
  <w:style w:type="paragraph" w:styleId="ListParagraph">
    <w:name w:val="List Paragraph"/>
    <w:basedOn w:val="Normal"/>
    <w:uiPriority w:val="1"/>
    <w:qFormat/>
    <w:rsid w:val="00912829"/>
    <w:pPr>
      <w:ind w:left="645" w:hanging="360"/>
    </w:pPr>
  </w:style>
  <w:style w:type="paragraph" w:customStyle="1" w:styleId="TableParagraph">
    <w:name w:val="Table Paragraph"/>
    <w:basedOn w:val="Normal"/>
    <w:uiPriority w:val="1"/>
    <w:qFormat/>
    <w:rsid w:val="00912829"/>
  </w:style>
  <w:style w:type="character" w:styleId="Hyperlink">
    <w:name w:val="Hyperlink"/>
    <w:basedOn w:val="DefaultParagraphFont"/>
    <w:rsid w:val="00A9417D"/>
    <w:rPr>
      <w:color w:val="0000FF" w:themeColor="hyperlink"/>
      <w:u w:val="single"/>
    </w:rPr>
  </w:style>
  <w:style w:type="paragraph" w:styleId="Header">
    <w:name w:val="header"/>
    <w:basedOn w:val="Normal"/>
    <w:link w:val="HeaderChar"/>
    <w:uiPriority w:val="99"/>
    <w:rsid w:val="00D1088C"/>
    <w:pPr>
      <w:tabs>
        <w:tab w:val="center" w:pos="4513"/>
        <w:tab w:val="right" w:pos="9026"/>
      </w:tabs>
    </w:pPr>
  </w:style>
  <w:style w:type="character" w:customStyle="1" w:styleId="HeaderChar">
    <w:name w:val="Header Char"/>
    <w:basedOn w:val="DefaultParagraphFont"/>
    <w:link w:val="Header"/>
    <w:uiPriority w:val="99"/>
    <w:rsid w:val="00D1088C"/>
    <w:rPr>
      <w:sz w:val="22"/>
      <w:szCs w:val="22"/>
      <w:lang w:val="en-US" w:eastAsia="en-US"/>
    </w:rPr>
  </w:style>
  <w:style w:type="paragraph" w:styleId="Footer">
    <w:name w:val="footer"/>
    <w:basedOn w:val="Normal"/>
    <w:link w:val="FooterChar"/>
    <w:rsid w:val="00D1088C"/>
    <w:pPr>
      <w:tabs>
        <w:tab w:val="center" w:pos="4513"/>
        <w:tab w:val="right" w:pos="9026"/>
      </w:tabs>
    </w:pPr>
  </w:style>
  <w:style w:type="character" w:customStyle="1" w:styleId="FooterChar">
    <w:name w:val="Footer Char"/>
    <w:basedOn w:val="DefaultParagraphFont"/>
    <w:link w:val="Footer"/>
    <w:rsid w:val="00D1088C"/>
    <w:rPr>
      <w:sz w:val="22"/>
      <w:szCs w:val="22"/>
      <w:lang w:val="en-US" w:eastAsia="en-US"/>
    </w:rPr>
  </w:style>
  <w:style w:type="paragraph" w:styleId="BalloonText">
    <w:name w:val="Balloon Text"/>
    <w:basedOn w:val="Normal"/>
    <w:link w:val="BalloonTextChar"/>
    <w:rsid w:val="00D1088C"/>
    <w:rPr>
      <w:rFonts w:ascii="Tahoma" w:hAnsi="Tahoma" w:cs="Tahoma"/>
      <w:sz w:val="16"/>
      <w:szCs w:val="16"/>
    </w:rPr>
  </w:style>
  <w:style w:type="character" w:customStyle="1" w:styleId="BalloonTextChar">
    <w:name w:val="Balloon Text Char"/>
    <w:basedOn w:val="DefaultParagraphFont"/>
    <w:link w:val="BalloonText"/>
    <w:rsid w:val="00D1088C"/>
    <w:rPr>
      <w:rFonts w:ascii="Tahoma" w:hAnsi="Tahoma" w:cs="Tahoma"/>
      <w:sz w:val="16"/>
      <w:szCs w:val="16"/>
      <w:lang w:val="en-US" w:eastAsia="en-US"/>
    </w:rPr>
  </w:style>
  <w:style w:type="character" w:styleId="FollowedHyperlink">
    <w:name w:val="FollowedHyperlink"/>
    <w:basedOn w:val="DefaultParagraphFont"/>
    <w:semiHidden/>
    <w:unhideWhenUsed/>
    <w:rsid w:val="00277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omrc.org.uk/ebi/wp-content/uploads/2021/05/ebi-statutory-guid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orfields.nhs.uk/sites/default/files/chalazion-adul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Hall - Senior Contracts Manager</dc:creator>
  <cp:lastModifiedBy>HALL, Karen (FRIMLEY HEALTH NHS FOUNDATION TRUST)</cp:lastModifiedBy>
  <cp:revision>2</cp:revision>
  <dcterms:created xsi:type="dcterms:W3CDTF">2023-02-22T10:20:00Z</dcterms:created>
  <dcterms:modified xsi:type="dcterms:W3CDTF">2023-02-22T10:20:00Z</dcterms:modified>
</cp:coreProperties>
</file>