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2B1D" w14:textId="45D528B9" w:rsidR="00357431" w:rsidRPr="005A384C" w:rsidRDefault="00357431" w:rsidP="00357431">
      <w:pPr>
        <w:rPr>
          <w:rFonts w:ascii="Arial" w:hAnsi="Arial" w:cs="Arial"/>
          <w:i/>
          <w:sz w:val="20"/>
          <w:szCs w:val="20"/>
        </w:rPr>
      </w:pPr>
      <w:r w:rsidRPr="005A384C">
        <w:rPr>
          <w:rFonts w:ascii="Arial" w:hAnsi="Arial" w:cs="Arial"/>
          <w:i/>
          <w:sz w:val="20"/>
          <w:szCs w:val="20"/>
        </w:rPr>
        <w:t xml:space="preserve">Extract from the below named document for ICS Implementation purposes;  </w:t>
      </w:r>
      <w:hyperlink r:id="rId7" w:history="1">
        <w:r w:rsidR="005A384C" w:rsidRPr="005A384C">
          <w:rPr>
            <w:rStyle w:val="Hyperlink"/>
            <w:rFonts w:ascii="Arial" w:hAnsi="Arial" w:cs="Arial"/>
            <w:i/>
            <w:sz w:val="20"/>
            <w:szCs w:val="20"/>
          </w:rPr>
          <w:t>Microsoft Word - EBI consultation response statutory guidance 11 Jan 2019 FINAL v2.0 CLEAN + cover sheet.docx (aomrc.org.uk)</w:t>
        </w:r>
      </w:hyperlink>
      <w:r w:rsidRPr="005A384C">
        <w:rPr>
          <w:rFonts w:ascii="Arial" w:hAnsi="Arial" w:cs="Arial"/>
          <w:i/>
          <w:sz w:val="20"/>
          <w:szCs w:val="20"/>
        </w:rPr>
        <w:t xml:space="preserve"> </w:t>
      </w:r>
    </w:p>
    <w:p w14:paraId="17B1B5E1" w14:textId="77777777" w:rsidR="00357431" w:rsidRDefault="00357431" w:rsidP="00357431">
      <w:pPr>
        <w:jc w:val="center"/>
        <w:rPr>
          <w:rFonts w:ascii="Arial" w:hAnsi="Arial" w:cs="Arial"/>
          <w:sz w:val="24"/>
        </w:rPr>
      </w:pP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t>________________________________________________________________</w:t>
      </w:r>
    </w:p>
    <w:p w14:paraId="179B3103" w14:textId="77777777" w:rsidR="00357431" w:rsidRDefault="00357431" w:rsidP="00357431">
      <w:pPr>
        <w:rPr>
          <w:rFonts w:ascii="Arial" w:hAnsi="Arial" w:cs="Arial"/>
          <w:sz w:val="24"/>
        </w:rPr>
      </w:pPr>
    </w:p>
    <w:p w14:paraId="37B40360" w14:textId="77777777" w:rsidR="00AE5858" w:rsidRPr="00357431" w:rsidRDefault="00AE5858" w:rsidP="00357431">
      <w:pPr>
        <w:rPr>
          <w:rFonts w:ascii="Arial" w:hAnsi="Arial" w:cs="Arial"/>
          <w:sz w:val="24"/>
        </w:rPr>
      </w:pPr>
      <w:r w:rsidRPr="00357431">
        <w:rPr>
          <w:rFonts w:ascii="Arial" w:hAnsi="Arial" w:cs="Arial"/>
          <w:sz w:val="24"/>
        </w:rPr>
        <w:t xml:space="preserve">Tonsillectomy for Recurrent Tonsillitis </w:t>
      </w:r>
    </w:p>
    <w:p w14:paraId="0FF25810" w14:textId="77777777" w:rsidR="00AE5858" w:rsidRPr="00357431" w:rsidRDefault="00AE5858" w:rsidP="00357431">
      <w:pPr>
        <w:rPr>
          <w:rFonts w:ascii="Arial" w:hAnsi="Arial" w:cs="Arial"/>
          <w:sz w:val="24"/>
        </w:rPr>
      </w:pPr>
    </w:p>
    <w:p w14:paraId="5F291DA6" w14:textId="77777777" w:rsidR="00AE5858" w:rsidRPr="00357431" w:rsidRDefault="00AE5858" w:rsidP="00357431">
      <w:pPr>
        <w:rPr>
          <w:rFonts w:ascii="Arial" w:hAnsi="Arial" w:cs="Arial"/>
          <w:sz w:val="24"/>
        </w:rPr>
      </w:pPr>
      <w:r w:rsidRPr="00357431">
        <w:rPr>
          <w:rFonts w:ascii="Arial" w:hAnsi="Arial" w:cs="Arial"/>
          <w:sz w:val="24"/>
        </w:rPr>
        <w:t>Updated description of the intervention</w:t>
      </w:r>
    </w:p>
    <w:p w14:paraId="47636037" w14:textId="77777777" w:rsidR="00AE5858" w:rsidRPr="00357431" w:rsidRDefault="00AE5858" w:rsidP="00DA6161">
      <w:pPr>
        <w:tabs>
          <w:tab w:val="left" w:pos="426"/>
        </w:tabs>
        <w:rPr>
          <w:rFonts w:ascii="Arial" w:hAnsi="Arial" w:cs="Arial"/>
          <w:sz w:val="24"/>
        </w:rPr>
      </w:pPr>
    </w:p>
    <w:p w14:paraId="4A6F01EF" w14:textId="77777777" w:rsidR="00AE5858" w:rsidRPr="00357431" w:rsidRDefault="00AE5858" w:rsidP="00357431">
      <w:pPr>
        <w:rPr>
          <w:rFonts w:ascii="Arial" w:hAnsi="Arial" w:cs="Arial"/>
        </w:rPr>
      </w:pPr>
      <w:r w:rsidRPr="00357431">
        <w:rPr>
          <w:rFonts w:ascii="Arial" w:hAnsi="Arial" w:cs="Arial"/>
        </w:rPr>
        <w:t>Recurrent sore throats are a very common condition that present a considerable health burden. In most cases they can be treated with conservative measures. In some cases, where there are recurrent, documented episodes of acute tonsillitis that are disabling to normal function, then tonsillectomy is beneficial, but it should only be offered when the frequency of episodes set out by the Scottish Intercollegiate Guidelines Network criteria are met.</w:t>
      </w:r>
    </w:p>
    <w:p w14:paraId="1FAA1381" w14:textId="77777777" w:rsidR="00AE5858" w:rsidRPr="00357431" w:rsidRDefault="00AE5858" w:rsidP="00357431">
      <w:pPr>
        <w:rPr>
          <w:rFonts w:ascii="Arial" w:hAnsi="Arial" w:cs="Arial"/>
        </w:rPr>
      </w:pPr>
    </w:p>
    <w:p w14:paraId="5ABB01FF" w14:textId="77777777" w:rsidR="00AE5858" w:rsidRPr="00357431" w:rsidRDefault="00AE5858" w:rsidP="00357431">
      <w:pPr>
        <w:rPr>
          <w:rFonts w:ascii="Arial" w:hAnsi="Arial" w:cs="Arial"/>
        </w:rPr>
      </w:pPr>
      <w:r w:rsidRPr="00357431">
        <w:rPr>
          <w:rFonts w:ascii="Arial" w:hAnsi="Arial" w:cs="Arial"/>
        </w:rPr>
        <w:t>Updated clinical criteria</w:t>
      </w:r>
    </w:p>
    <w:p w14:paraId="53486E13" w14:textId="77777777" w:rsidR="00AE5858" w:rsidRPr="00357431" w:rsidRDefault="00AE5858" w:rsidP="00357431">
      <w:pPr>
        <w:rPr>
          <w:rFonts w:ascii="Arial" w:hAnsi="Arial" w:cs="Arial"/>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AE5858" w:rsidRPr="00357431" w14:paraId="34BEE2CA" w14:textId="77777777" w:rsidTr="00DA6161">
        <w:trPr>
          <w:trHeight w:val="275"/>
        </w:trPr>
        <w:tc>
          <w:tcPr>
            <w:tcW w:w="9923" w:type="dxa"/>
            <w:shd w:val="clear" w:color="auto" w:fill="16365D"/>
          </w:tcPr>
          <w:p w14:paraId="1CB3B1F6" w14:textId="77777777" w:rsidR="00AE5858" w:rsidRPr="00357431" w:rsidRDefault="00AE5858" w:rsidP="00357431">
            <w:pPr>
              <w:rPr>
                <w:rFonts w:ascii="Arial" w:hAnsi="Arial" w:cs="Arial"/>
              </w:rPr>
            </w:pPr>
            <w:r w:rsidRPr="00357431">
              <w:rPr>
                <w:rFonts w:ascii="Arial" w:hAnsi="Arial" w:cs="Arial"/>
              </w:rPr>
              <w:t>Summary of intervention</w:t>
            </w:r>
          </w:p>
        </w:tc>
      </w:tr>
      <w:tr w:rsidR="00AE5858" w:rsidRPr="00357431" w14:paraId="17E0DA66" w14:textId="77777777" w:rsidTr="00DA6161">
        <w:trPr>
          <w:trHeight w:val="2483"/>
        </w:trPr>
        <w:tc>
          <w:tcPr>
            <w:tcW w:w="9923" w:type="dxa"/>
          </w:tcPr>
          <w:p w14:paraId="1A0F309C" w14:textId="77777777" w:rsidR="00AE5858" w:rsidRPr="00357431" w:rsidRDefault="00AE5858" w:rsidP="00357431">
            <w:pPr>
              <w:rPr>
                <w:rFonts w:ascii="Arial" w:hAnsi="Arial" w:cs="Arial"/>
              </w:rPr>
            </w:pPr>
            <w:r w:rsidRPr="00357431">
              <w:rPr>
                <w:rFonts w:ascii="Arial" w:hAnsi="Arial" w:cs="Arial"/>
              </w:rPr>
              <w:t>This guidance relates to surgical procedures to remove the tonsils as a treatment for recurrent sore throats in adults and children.</w:t>
            </w:r>
          </w:p>
          <w:p w14:paraId="53C88040" w14:textId="77777777" w:rsidR="00AE5858" w:rsidRPr="00357431" w:rsidRDefault="00AE5858" w:rsidP="00357431">
            <w:pPr>
              <w:rPr>
                <w:rFonts w:ascii="Arial" w:hAnsi="Arial" w:cs="Arial"/>
              </w:rPr>
            </w:pPr>
          </w:p>
          <w:p w14:paraId="4DECFE33" w14:textId="77777777" w:rsidR="00AE5858" w:rsidRPr="00357431" w:rsidRDefault="00AE5858" w:rsidP="00357431">
            <w:pPr>
              <w:rPr>
                <w:rFonts w:ascii="Arial" w:hAnsi="Arial" w:cs="Arial"/>
              </w:rPr>
            </w:pPr>
            <w:r w:rsidRPr="00357431">
              <w:rPr>
                <w:rFonts w:ascii="Arial" w:hAnsi="Arial" w:cs="Arial"/>
              </w:rPr>
              <w:t xml:space="preserve">Recurring sore throats are a very common condition that presents a large burden on healthcare; they can also impact on a person’s ability to work or attend school. It must be </w:t>
            </w:r>
            <w:proofErr w:type="spellStart"/>
            <w:r w:rsidRPr="00357431">
              <w:rPr>
                <w:rFonts w:ascii="Arial" w:hAnsi="Arial" w:cs="Arial"/>
              </w:rPr>
              <w:t>recognised</w:t>
            </w:r>
            <w:proofErr w:type="spellEnd"/>
            <w:r w:rsidRPr="00357431">
              <w:rPr>
                <w:rFonts w:ascii="Arial" w:hAnsi="Arial" w:cs="Arial"/>
              </w:rPr>
              <w:t xml:space="preserve"> however, that not all sore throats are due to tonsillitis and they can be caused by other infections of the throat. In these cases, removing the tonsils will not improve symptoms.</w:t>
            </w:r>
          </w:p>
        </w:tc>
      </w:tr>
      <w:tr w:rsidR="00AE5858" w:rsidRPr="00357431" w14:paraId="0347BC8A" w14:textId="77777777" w:rsidTr="00DA6161">
        <w:trPr>
          <w:trHeight w:val="275"/>
        </w:trPr>
        <w:tc>
          <w:tcPr>
            <w:tcW w:w="9923" w:type="dxa"/>
            <w:shd w:val="clear" w:color="auto" w:fill="16365D"/>
          </w:tcPr>
          <w:p w14:paraId="282735CD" w14:textId="77777777" w:rsidR="00AE5858" w:rsidRPr="00357431" w:rsidRDefault="00AE5858" w:rsidP="00357431">
            <w:pPr>
              <w:rPr>
                <w:rFonts w:ascii="Arial" w:hAnsi="Arial" w:cs="Arial"/>
              </w:rPr>
            </w:pPr>
            <w:r w:rsidRPr="00357431">
              <w:rPr>
                <w:rFonts w:ascii="Arial" w:hAnsi="Arial" w:cs="Arial"/>
              </w:rPr>
              <w:t>Number of CCG interventions in 2017/18</w:t>
            </w:r>
          </w:p>
        </w:tc>
      </w:tr>
      <w:tr w:rsidR="00AE5858" w:rsidRPr="00357431" w14:paraId="354DC7EE" w14:textId="77777777" w:rsidTr="00DA6161">
        <w:trPr>
          <w:trHeight w:val="551"/>
        </w:trPr>
        <w:tc>
          <w:tcPr>
            <w:tcW w:w="9923" w:type="dxa"/>
          </w:tcPr>
          <w:p w14:paraId="72189D0C" w14:textId="77777777" w:rsidR="00AE5858" w:rsidRPr="00357431" w:rsidRDefault="00AE5858" w:rsidP="00357431">
            <w:pPr>
              <w:rPr>
                <w:rFonts w:ascii="Arial" w:hAnsi="Arial" w:cs="Arial"/>
              </w:rPr>
            </w:pPr>
            <w:r w:rsidRPr="00357431">
              <w:rPr>
                <w:rFonts w:ascii="Arial" w:hAnsi="Arial" w:cs="Arial"/>
              </w:rPr>
              <w:t>32,238</w:t>
            </w:r>
          </w:p>
        </w:tc>
      </w:tr>
      <w:tr w:rsidR="00AE5858" w:rsidRPr="00357431" w14:paraId="6A6FBB21" w14:textId="77777777" w:rsidTr="00DA6161">
        <w:trPr>
          <w:trHeight w:val="277"/>
        </w:trPr>
        <w:tc>
          <w:tcPr>
            <w:tcW w:w="9923" w:type="dxa"/>
            <w:shd w:val="clear" w:color="auto" w:fill="16365D"/>
          </w:tcPr>
          <w:p w14:paraId="03FBB587" w14:textId="77777777" w:rsidR="00AE5858" w:rsidRPr="00357431" w:rsidRDefault="00AE5858" w:rsidP="00357431">
            <w:pPr>
              <w:rPr>
                <w:rFonts w:ascii="Arial" w:hAnsi="Arial" w:cs="Arial"/>
              </w:rPr>
            </w:pPr>
            <w:r w:rsidRPr="00357431">
              <w:rPr>
                <w:rFonts w:ascii="Arial" w:hAnsi="Arial" w:cs="Arial"/>
              </w:rPr>
              <w:t>Recommendation</w:t>
            </w:r>
          </w:p>
        </w:tc>
      </w:tr>
      <w:tr w:rsidR="00AE5858" w:rsidRPr="00357431" w14:paraId="22F34907" w14:textId="77777777" w:rsidTr="00DA6161">
        <w:trPr>
          <w:trHeight w:val="2409"/>
        </w:trPr>
        <w:tc>
          <w:tcPr>
            <w:tcW w:w="9923" w:type="dxa"/>
          </w:tcPr>
          <w:p w14:paraId="5B6ADEF1" w14:textId="77777777" w:rsidR="00AE5858" w:rsidRPr="00357431" w:rsidRDefault="00AE5858" w:rsidP="00357431">
            <w:pPr>
              <w:rPr>
                <w:rFonts w:ascii="Arial" w:hAnsi="Arial" w:cs="Arial"/>
              </w:rPr>
            </w:pPr>
            <w:r w:rsidRPr="00357431">
              <w:rPr>
                <w:rFonts w:ascii="Arial" w:hAnsi="Arial" w:cs="Arial"/>
              </w:rPr>
              <w:t>The NHS should only commission this surgery for treatment of recurrent severe episodes of sore throat when the following criteria are met, as set out by the SIGN guidance and supported by ENT UK commissioning guidance:</w:t>
            </w:r>
          </w:p>
          <w:p w14:paraId="2DF7AA5B" w14:textId="77777777" w:rsidR="00AE5858" w:rsidRPr="00357431" w:rsidRDefault="00AE5858" w:rsidP="00357431">
            <w:pPr>
              <w:rPr>
                <w:rFonts w:ascii="Arial" w:hAnsi="Arial" w:cs="Arial"/>
              </w:rPr>
            </w:pPr>
            <w:r w:rsidRPr="00357431">
              <w:rPr>
                <w:rFonts w:ascii="Arial" w:hAnsi="Arial" w:cs="Arial"/>
              </w:rPr>
              <w:t>Sore throats are due to acute tonsillitis AND</w:t>
            </w:r>
          </w:p>
          <w:p w14:paraId="114F20A1" w14:textId="77777777" w:rsidR="00AE5858" w:rsidRPr="00357431" w:rsidRDefault="00AE5858" w:rsidP="00357431">
            <w:pPr>
              <w:rPr>
                <w:rFonts w:ascii="Arial" w:hAnsi="Arial" w:cs="Arial"/>
              </w:rPr>
            </w:pPr>
            <w:r w:rsidRPr="00357431">
              <w:rPr>
                <w:rFonts w:ascii="Arial" w:hAnsi="Arial" w:cs="Arial"/>
              </w:rPr>
              <w:t>The episodes are disabling and prevent normal functioning AND</w:t>
            </w:r>
          </w:p>
          <w:p w14:paraId="23A3837A" w14:textId="77777777" w:rsidR="00AE5858" w:rsidRDefault="00AE5858" w:rsidP="00357431">
            <w:pPr>
              <w:rPr>
                <w:rFonts w:ascii="Arial" w:hAnsi="Arial" w:cs="Arial"/>
              </w:rPr>
            </w:pPr>
            <w:r w:rsidRPr="00357431">
              <w:rPr>
                <w:rFonts w:ascii="Arial" w:hAnsi="Arial" w:cs="Arial"/>
              </w:rPr>
              <w:t>Seven or more, documented, clinically significant, adequately treated sore throats in the preceding year OR</w:t>
            </w:r>
          </w:p>
          <w:p w14:paraId="52F7A1A2" w14:textId="77777777" w:rsidR="00357431" w:rsidRPr="00357431" w:rsidRDefault="00357431" w:rsidP="00357431">
            <w:pPr>
              <w:rPr>
                <w:rFonts w:ascii="Arial" w:hAnsi="Arial" w:cs="Arial"/>
              </w:rPr>
            </w:pPr>
            <w:r w:rsidRPr="00357431">
              <w:rPr>
                <w:rFonts w:ascii="Arial" w:hAnsi="Arial" w:cs="Arial"/>
              </w:rPr>
              <w:t>Five or more such episodes in each of the preceding two years  OR</w:t>
            </w:r>
          </w:p>
          <w:p w14:paraId="0100942E" w14:textId="77777777" w:rsidR="00357431" w:rsidRPr="00357431" w:rsidRDefault="00357431" w:rsidP="00357431">
            <w:pPr>
              <w:rPr>
                <w:rFonts w:ascii="Arial" w:hAnsi="Arial" w:cs="Arial"/>
              </w:rPr>
            </w:pPr>
            <w:r w:rsidRPr="00357431">
              <w:rPr>
                <w:rFonts w:ascii="Arial" w:hAnsi="Arial" w:cs="Arial"/>
              </w:rPr>
              <w:t>Three or more such episodes in each of the preceding three years.</w:t>
            </w:r>
          </w:p>
          <w:p w14:paraId="0E415166" w14:textId="77777777" w:rsidR="00357431" w:rsidRPr="00357431" w:rsidRDefault="00357431" w:rsidP="00357431">
            <w:pPr>
              <w:rPr>
                <w:rFonts w:ascii="Arial" w:hAnsi="Arial" w:cs="Arial"/>
              </w:rPr>
            </w:pPr>
          </w:p>
          <w:p w14:paraId="7ADC81BB" w14:textId="77777777" w:rsidR="00357431" w:rsidRPr="00357431" w:rsidRDefault="00357431" w:rsidP="00357431">
            <w:pPr>
              <w:rPr>
                <w:rFonts w:ascii="Arial" w:hAnsi="Arial" w:cs="Arial"/>
              </w:rPr>
            </w:pPr>
            <w:r w:rsidRPr="00357431">
              <w:rPr>
                <w:rFonts w:ascii="Arial" w:hAnsi="Arial" w:cs="Arial"/>
              </w:rPr>
              <w:t>There are a number of medical conditions where episodes of tonsillitis can be damaging to health or tonsillectomy is required as part of the on-going management. In these instances tonsillectomy may be considered beneficial at a lower threshold than this guidance after specialist assessment:</w:t>
            </w:r>
          </w:p>
          <w:p w14:paraId="7869D9CE" w14:textId="77777777" w:rsidR="00357431" w:rsidRPr="00357431" w:rsidRDefault="00357431" w:rsidP="00357431">
            <w:pPr>
              <w:rPr>
                <w:rFonts w:ascii="Arial" w:hAnsi="Arial" w:cs="Arial"/>
              </w:rPr>
            </w:pPr>
            <w:r w:rsidRPr="00357431">
              <w:rPr>
                <w:rFonts w:ascii="Arial" w:hAnsi="Arial" w:cs="Arial"/>
              </w:rPr>
              <w:t>Acute and chronic renal disease resulting from acute bacterial tonsillitis.</w:t>
            </w:r>
          </w:p>
          <w:p w14:paraId="0FD5A79A" w14:textId="77777777" w:rsidR="00357431" w:rsidRPr="00357431" w:rsidRDefault="00357431" w:rsidP="00357431">
            <w:pPr>
              <w:rPr>
                <w:rFonts w:ascii="Arial" w:hAnsi="Arial" w:cs="Arial"/>
              </w:rPr>
            </w:pPr>
            <w:r w:rsidRPr="00357431">
              <w:rPr>
                <w:rFonts w:ascii="Arial" w:hAnsi="Arial" w:cs="Arial"/>
              </w:rPr>
              <w:t>As part of the treatment of severe guttate psoriasis.</w:t>
            </w:r>
          </w:p>
          <w:p w14:paraId="128B8ADA" w14:textId="77777777" w:rsidR="00357431" w:rsidRPr="00357431" w:rsidRDefault="00357431" w:rsidP="00357431">
            <w:pPr>
              <w:rPr>
                <w:rFonts w:ascii="Arial" w:hAnsi="Arial" w:cs="Arial"/>
              </w:rPr>
            </w:pPr>
            <w:r w:rsidRPr="00357431">
              <w:rPr>
                <w:rFonts w:ascii="Arial" w:hAnsi="Arial" w:cs="Arial"/>
              </w:rPr>
              <w:t>Metabolic disorders where periods of reduced oral intake could be dangerous to health.</w:t>
            </w:r>
          </w:p>
          <w:p w14:paraId="0E5A80C0" w14:textId="77777777" w:rsidR="00357431" w:rsidRPr="00357431" w:rsidRDefault="00357431" w:rsidP="00357431">
            <w:pPr>
              <w:rPr>
                <w:rFonts w:ascii="Arial" w:hAnsi="Arial" w:cs="Arial"/>
              </w:rPr>
            </w:pPr>
            <w:proofErr w:type="spellStart"/>
            <w:r w:rsidRPr="00357431">
              <w:rPr>
                <w:rFonts w:ascii="Arial" w:hAnsi="Arial" w:cs="Arial"/>
              </w:rPr>
              <w:lastRenderedPageBreak/>
              <w:t>PFAPA</w:t>
            </w:r>
            <w:proofErr w:type="spellEnd"/>
            <w:r w:rsidRPr="00357431">
              <w:rPr>
                <w:rFonts w:ascii="Arial" w:hAnsi="Arial" w:cs="Arial"/>
              </w:rPr>
              <w:t xml:space="preserve"> (Periodic fever, </w:t>
            </w:r>
            <w:proofErr w:type="spellStart"/>
            <w:r w:rsidRPr="00357431">
              <w:rPr>
                <w:rFonts w:ascii="Arial" w:hAnsi="Arial" w:cs="Arial"/>
              </w:rPr>
              <w:t>Apthous</w:t>
            </w:r>
            <w:proofErr w:type="spellEnd"/>
            <w:r w:rsidRPr="00357431">
              <w:rPr>
                <w:rFonts w:ascii="Arial" w:hAnsi="Arial" w:cs="Arial"/>
              </w:rPr>
              <w:t xml:space="preserve"> stomatitis, Pharyngitis, Cervical adenitis)</w:t>
            </w:r>
          </w:p>
          <w:p w14:paraId="4109F807" w14:textId="77777777" w:rsidR="00357431" w:rsidRPr="00357431" w:rsidRDefault="00357431" w:rsidP="00357431">
            <w:pPr>
              <w:rPr>
                <w:rFonts w:ascii="Arial" w:hAnsi="Arial" w:cs="Arial"/>
              </w:rPr>
            </w:pPr>
            <w:r w:rsidRPr="00357431">
              <w:rPr>
                <w:rFonts w:ascii="Arial" w:hAnsi="Arial" w:cs="Arial"/>
              </w:rPr>
              <w:t>Severe immune deficiency that would make episodes of recurrent tonsillitis dangerous</w:t>
            </w:r>
          </w:p>
          <w:p w14:paraId="367CF9D0" w14:textId="77777777" w:rsidR="00357431" w:rsidRPr="00357431" w:rsidRDefault="00357431" w:rsidP="00357431">
            <w:pPr>
              <w:rPr>
                <w:rFonts w:ascii="Arial" w:hAnsi="Arial" w:cs="Arial"/>
              </w:rPr>
            </w:pPr>
          </w:p>
          <w:p w14:paraId="73886F29" w14:textId="77777777" w:rsidR="00357431" w:rsidRPr="00357431" w:rsidRDefault="00357431" w:rsidP="00357431">
            <w:pPr>
              <w:rPr>
                <w:rFonts w:ascii="Arial" w:hAnsi="Arial" w:cs="Arial"/>
              </w:rPr>
            </w:pPr>
            <w:r w:rsidRPr="00357431">
              <w:rPr>
                <w:rFonts w:ascii="Arial" w:hAnsi="Arial" w:cs="Arial"/>
              </w:rPr>
              <w:t xml:space="preserve">Further information on the Scottish Intercollegiate Guidelines Network guidance can be found here: </w:t>
            </w:r>
            <w:hyperlink r:id="rId8">
              <w:r w:rsidRPr="00357431">
                <w:rPr>
                  <w:rStyle w:val="Hyperlink"/>
                  <w:rFonts w:ascii="Arial" w:hAnsi="Arial" w:cs="Arial"/>
                </w:rPr>
                <w:t>http://www.sign.ac.uk/assets/sign117.pdf</w:t>
              </w:r>
            </w:hyperlink>
          </w:p>
          <w:p w14:paraId="541D667D" w14:textId="77777777" w:rsidR="00357431" w:rsidRPr="00357431" w:rsidRDefault="00357431" w:rsidP="00357431">
            <w:pPr>
              <w:rPr>
                <w:rFonts w:ascii="Arial" w:hAnsi="Arial" w:cs="Arial"/>
              </w:rPr>
            </w:pPr>
          </w:p>
          <w:p w14:paraId="06F1A726" w14:textId="77777777" w:rsidR="00357431" w:rsidRPr="00357431" w:rsidRDefault="00357431" w:rsidP="00357431">
            <w:pPr>
              <w:rPr>
                <w:rFonts w:ascii="Arial" w:hAnsi="Arial" w:cs="Arial"/>
              </w:rPr>
            </w:pPr>
            <w:r w:rsidRPr="00357431">
              <w:rPr>
                <w:rFonts w:ascii="Arial" w:hAnsi="Arial" w:cs="Arial"/>
              </w:rPr>
              <w:t>Please note this guidance only relates to patients with recurrent tonsillitis. This guidance should not be applied to other conditions where tonsillectomy should continue to be funded, these include:</w:t>
            </w:r>
          </w:p>
          <w:p w14:paraId="7FA61931" w14:textId="77777777" w:rsidR="00357431" w:rsidRPr="00357431" w:rsidRDefault="00357431" w:rsidP="00357431">
            <w:pPr>
              <w:rPr>
                <w:rFonts w:ascii="Arial" w:hAnsi="Arial" w:cs="Arial"/>
              </w:rPr>
            </w:pPr>
            <w:r w:rsidRPr="00357431">
              <w:rPr>
                <w:rFonts w:ascii="Arial" w:hAnsi="Arial" w:cs="Arial"/>
              </w:rPr>
              <w:t xml:space="preserve">Obstructive Sleep </w:t>
            </w:r>
            <w:proofErr w:type="spellStart"/>
            <w:r w:rsidRPr="00357431">
              <w:rPr>
                <w:rFonts w:ascii="Arial" w:hAnsi="Arial" w:cs="Arial"/>
              </w:rPr>
              <w:t>Apnoea</w:t>
            </w:r>
            <w:proofErr w:type="spellEnd"/>
            <w:r w:rsidRPr="00357431">
              <w:rPr>
                <w:rFonts w:ascii="Arial" w:hAnsi="Arial" w:cs="Arial"/>
              </w:rPr>
              <w:t xml:space="preserve"> / Sleep disordered breathing in Children</w:t>
            </w:r>
          </w:p>
          <w:p w14:paraId="22217C71" w14:textId="77777777" w:rsidR="00357431" w:rsidRPr="00357431" w:rsidRDefault="00357431" w:rsidP="00357431">
            <w:pPr>
              <w:rPr>
                <w:rFonts w:ascii="Arial" w:hAnsi="Arial" w:cs="Arial"/>
              </w:rPr>
            </w:pPr>
            <w:r w:rsidRPr="00357431">
              <w:rPr>
                <w:rFonts w:ascii="Arial" w:hAnsi="Arial" w:cs="Arial"/>
              </w:rPr>
              <w:t>Suspected Cancer (e.g. asymmetry of tonsils)</w:t>
            </w:r>
          </w:p>
          <w:p w14:paraId="79AFB677" w14:textId="77777777" w:rsidR="00357431" w:rsidRPr="00357431" w:rsidRDefault="00357431" w:rsidP="00357431">
            <w:pPr>
              <w:rPr>
                <w:rFonts w:ascii="Arial" w:hAnsi="Arial" w:cs="Arial"/>
              </w:rPr>
            </w:pPr>
            <w:r w:rsidRPr="00357431">
              <w:rPr>
                <w:rFonts w:ascii="Arial" w:hAnsi="Arial" w:cs="Arial"/>
              </w:rPr>
              <w:t>Recurrent Quinsy (abscess next to tonsil)</w:t>
            </w:r>
          </w:p>
          <w:p w14:paraId="64F7F501" w14:textId="77777777" w:rsidR="00357431" w:rsidRPr="00357431" w:rsidRDefault="00357431" w:rsidP="00357431">
            <w:pPr>
              <w:rPr>
                <w:rFonts w:ascii="Arial" w:hAnsi="Arial" w:cs="Arial"/>
              </w:rPr>
            </w:pPr>
            <w:r w:rsidRPr="00357431">
              <w:rPr>
                <w:rFonts w:ascii="Arial" w:hAnsi="Arial" w:cs="Arial"/>
              </w:rPr>
              <w:t>Emergency Presentations (e.g. treatment of parapharyngeal abscess)</w:t>
            </w:r>
          </w:p>
          <w:p w14:paraId="177F1848" w14:textId="77777777" w:rsidR="00357431" w:rsidRPr="00357431" w:rsidRDefault="00357431" w:rsidP="00357431">
            <w:pPr>
              <w:rPr>
                <w:rFonts w:ascii="Arial" w:hAnsi="Arial" w:cs="Arial"/>
              </w:rPr>
            </w:pPr>
          </w:p>
          <w:p w14:paraId="01D351BC" w14:textId="77777777" w:rsidR="00357431" w:rsidRPr="00357431" w:rsidRDefault="00357431" w:rsidP="00357431">
            <w:pPr>
              <w:rPr>
                <w:rFonts w:ascii="Arial" w:hAnsi="Arial" w:cs="Arial"/>
              </w:rPr>
            </w:pPr>
            <w:r w:rsidRPr="00357431">
              <w:rPr>
                <w:rFonts w:ascii="Arial" w:hAnsi="Arial" w:cs="Arial"/>
              </w:rPr>
              <w:t xml:space="preserve">It is important to note that national </w:t>
            </w:r>
            <w:proofErr w:type="spellStart"/>
            <w:r w:rsidRPr="00357431">
              <w:rPr>
                <w:rFonts w:ascii="Arial" w:hAnsi="Arial" w:cs="Arial"/>
              </w:rPr>
              <w:t>randomised</w:t>
            </w:r>
            <w:proofErr w:type="spellEnd"/>
            <w:r w:rsidRPr="00357431">
              <w:rPr>
                <w:rFonts w:ascii="Arial" w:hAnsi="Arial" w:cs="Arial"/>
              </w:rPr>
              <w:t xml:space="preserve"> control trial is underway comparing surgery versus conservative management for recurrent tonsillitis in adults in underway which may warrant review of this guidance in the near future.</w:t>
            </w:r>
          </w:p>
        </w:tc>
      </w:tr>
      <w:tr w:rsidR="00AE5858" w:rsidRPr="00357431" w14:paraId="02836ACF" w14:textId="77777777" w:rsidTr="00DA6161">
        <w:trPr>
          <w:trHeight w:val="275"/>
        </w:trPr>
        <w:tc>
          <w:tcPr>
            <w:tcW w:w="9923" w:type="dxa"/>
            <w:shd w:val="clear" w:color="auto" w:fill="16365D"/>
          </w:tcPr>
          <w:p w14:paraId="6A456011" w14:textId="77777777" w:rsidR="00AE5858" w:rsidRPr="00357431" w:rsidRDefault="00AE5858" w:rsidP="00357431">
            <w:pPr>
              <w:rPr>
                <w:rFonts w:ascii="Arial" w:hAnsi="Arial" w:cs="Arial"/>
              </w:rPr>
            </w:pPr>
            <w:r w:rsidRPr="00357431">
              <w:rPr>
                <w:rFonts w:ascii="Arial" w:hAnsi="Arial" w:cs="Arial"/>
              </w:rPr>
              <w:lastRenderedPageBreak/>
              <w:t>Rationale for recommendation</w:t>
            </w:r>
          </w:p>
        </w:tc>
      </w:tr>
      <w:tr w:rsidR="00AE5858" w:rsidRPr="00357431" w14:paraId="3FD138FA" w14:textId="77777777" w:rsidTr="00DA6161">
        <w:trPr>
          <w:trHeight w:val="3977"/>
        </w:trPr>
        <w:tc>
          <w:tcPr>
            <w:tcW w:w="9923" w:type="dxa"/>
          </w:tcPr>
          <w:p w14:paraId="06A539A1" w14:textId="77777777" w:rsidR="00AE5858" w:rsidRPr="00357431" w:rsidRDefault="00AE5858" w:rsidP="00357431">
            <w:pPr>
              <w:rPr>
                <w:rFonts w:ascii="Arial" w:hAnsi="Arial" w:cs="Arial"/>
              </w:rPr>
            </w:pPr>
            <w:r w:rsidRPr="00357431">
              <w:rPr>
                <w:rFonts w:ascii="Arial" w:hAnsi="Arial" w:cs="Arial"/>
              </w:rPr>
              <w:t>Recurrent sore throats are a very common condition that presents a considerable health burden. In most cases they can be treated with conservative measures. In some cases, where there are recurrent, documented episodes of acute tonsillitis that are disabling to normal function, then tonsillectomy is beneficial, but it should only be offered when the frequency of episodes set out by the Scottish Intercollegiate Guidelines Network criteria are met.</w:t>
            </w:r>
          </w:p>
          <w:p w14:paraId="0BA09256" w14:textId="77777777" w:rsidR="00AE5858" w:rsidRPr="00357431" w:rsidRDefault="00AE5858" w:rsidP="00357431">
            <w:pPr>
              <w:rPr>
                <w:rFonts w:ascii="Arial" w:hAnsi="Arial" w:cs="Arial"/>
              </w:rPr>
            </w:pPr>
          </w:p>
          <w:p w14:paraId="2A1AA43B" w14:textId="77777777" w:rsidR="00357431" w:rsidRPr="00357431" w:rsidRDefault="00AE5858" w:rsidP="00357431">
            <w:pPr>
              <w:rPr>
                <w:rFonts w:ascii="Arial" w:hAnsi="Arial" w:cs="Arial"/>
              </w:rPr>
            </w:pPr>
            <w:r w:rsidRPr="00357431">
              <w:rPr>
                <w:rFonts w:ascii="Arial" w:hAnsi="Arial" w:cs="Arial"/>
              </w:rPr>
              <w:t xml:space="preserve">The surgery carries a small risk of </w:t>
            </w:r>
            <w:proofErr w:type="gramStart"/>
            <w:r w:rsidRPr="00357431">
              <w:rPr>
                <w:rFonts w:ascii="Arial" w:hAnsi="Arial" w:cs="Arial"/>
              </w:rPr>
              <w:t>bleeding  requiring</w:t>
            </w:r>
            <w:proofErr w:type="gramEnd"/>
            <w:r w:rsidRPr="00357431">
              <w:rPr>
                <w:rFonts w:ascii="Arial" w:hAnsi="Arial" w:cs="Arial"/>
              </w:rPr>
              <w:t xml:space="preserve">  readmission  to hospital (3.5%). A previous national audit quoted a 0.9% </w:t>
            </w:r>
            <w:proofErr w:type="gramStart"/>
            <w:r w:rsidRPr="00357431">
              <w:rPr>
                <w:rFonts w:ascii="Arial" w:hAnsi="Arial" w:cs="Arial"/>
              </w:rPr>
              <w:t>risk  of</w:t>
            </w:r>
            <w:proofErr w:type="gramEnd"/>
            <w:r w:rsidRPr="00357431">
              <w:rPr>
                <w:rFonts w:ascii="Arial" w:hAnsi="Arial" w:cs="Arial"/>
              </w:rPr>
              <w:t xml:space="preserve">  requiring  emergency surgery to treat bleeding after surgery but in a more recent study of 267, 159 tonsillectomies, 1.88% of  patients  required  a return to  theatre. Pain after surgery can be severe (especially in adults) for up to two weeks after surgery; this requires regular painkillers and can cause temporary difficulty swallowing. In addition to bleeding; pain or infection after surgery can require readmission to hospital for treatment. The Getting it Right First Time ENT report is due late 2018 and will present updated figures on readmission rates in relation to tonsillectomy.</w:t>
            </w:r>
            <w:r w:rsidR="00357431" w:rsidRPr="00357431">
              <w:rPr>
                <w:rFonts w:ascii="Arial" w:hAnsi="Arial" w:cs="Arial"/>
              </w:rPr>
              <w:t xml:space="preserve"> There is no alternative treatment for recurrent sore throats that is known to be beneficial, however sometimes symptoms improve with a period of observation.</w:t>
            </w:r>
          </w:p>
          <w:p w14:paraId="5B1B4274" w14:textId="77777777" w:rsidR="00AE5858" w:rsidRPr="00357431" w:rsidRDefault="00AE5858" w:rsidP="00357431">
            <w:pPr>
              <w:rPr>
                <w:rFonts w:ascii="Arial" w:hAnsi="Arial" w:cs="Arial"/>
              </w:rPr>
            </w:pPr>
          </w:p>
        </w:tc>
      </w:tr>
      <w:tr w:rsidR="00357431" w:rsidRPr="00357431" w14:paraId="4D3CE99D" w14:textId="77777777" w:rsidTr="00DA6161">
        <w:trPr>
          <w:trHeight w:val="539"/>
        </w:trPr>
        <w:tc>
          <w:tcPr>
            <w:tcW w:w="9923" w:type="dxa"/>
            <w:shd w:val="clear" w:color="auto" w:fill="244061" w:themeFill="accent1" w:themeFillShade="80"/>
          </w:tcPr>
          <w:p w14:paraId="5883AAAE" w14:textId="77777777" w:rsidR="00357431" w:rsidRPr="00357431" w:rsidRDefault="00357431" w:rsidP="00357431">
            <w:pPr>
              <w:rPr>
                <w:rFonts w:ascii="Arial" w:hAnsi="Arial" w:cs="Arial"/>
              </w:rPr>
            </w:pPr>
            <w:r w:rsidRPr="00357431">
              <w:rPr>
                <w:rFonts w:ascii="Arial" w:hAnsi="Arial" w:cs="Arial"/>
              </w:rPr>
              <w:t>References</w:t>
            </w:r>
          </w:p>
          <w:p w14:paraId="4E37C993" w14:textId="77777777" w:rsidR="00357431" w:rsidRPr="00357431" w:rsidRDefault="00357431" w:rsidP="00357431">
            <w:pPr>
              <w:rPr>
                <w:rFonts w:ascii="Arial" w:hAnsi="Arial" w:cs="Arial"/>
              </w:rPr>
            </w:pPr>
          </w:p>
        </w:tc>
      </w:tr>
      <w:tr w:rsidR="00357431" w:rsidRPr="00357431" w14:paraId="0DF06732" w14:textId="77777777" w:rsidTr="00DA6161">
        <w:trPr>
          <w:trHeight w:val="2291"/>
        </w:trPr>
        <w:tc>
          <w:tcPr>
            <w:tcW w:w="9923" w:type="dxa"/>
          </w:tcPr>
          <w:p w14:paraId="34DB0460" w14:textId="77777777" w:rsidR="00357431" w:rsidRPr="00357431" w:rsidRDefault="00357431" w:rsidP="00357431">
            <w:pPr>
              <w:rPr>
                <w:rFonts w:ascii="Arial" w:hAnsi="Arial" w:cs="Arial"/>
              </w:rPr>
            </w:pPr>
            <w:r w:rsidRPr="00357431">
              <w:rPr>
                <w:rFonts w:ascii="Arial" w:hAnsi="Arial" w:cs="Arial"/>
              </w:rPr>
              <w:t xml:space="preserve">Rubie I, </w:t>
            </w:r>
            <w:proofErr w:type="spellStart"/>
            <w:r w:rsidRPr="00357431">
              <w:rPr>
                <w:rFonts w:ascii="Arial" w:hAnsi="Arial" w:cs="Arial"/>
              </w:rPr>
              <w:t>Haighton</w:t>
            </w:r>
            <w:proofErr w:type="spellEnd"/>
            <w:r w:rsidRPr="00357431">
              <w:rPr>
                <w:rFonts w:ascii="Arial" w:hAnsi="Arial" w:cs="Arial"/>
              </w:rPr>
              <w:t xml:space="preserve"> C, O'Hara J, Rousseau N, Steen N, Stocken DD, Sullivan F, Vale L, Wilkes S, Wilson J. The National </w:t>
            </w:r>
            <w:proofErr w:type="spellStart"/>
            <w:r w:rsidRPr="00357431">
              <w:rPr>
                <w:rFonts w:ascii="Arial" w:hAnsi="Arial" w:cs="Arial"/>
              </w:rPr>
              <w:t>randomised</w:t>
            </w:r>
            <w:proofErr w:type="spellEnd"/>
            <w:r w:rsidRPr="00357431">
              <w:rPr>
                <w:rFonts w:ascii="Arial" w:hAnsi="Arial" w:cs="Arial"/>
              </w:rPr>
              <w:t xml:space="preserve"> controlled Trial</w:t>
            </w:r>
          </w:p>
          <w:p w14:paraId="5143B6A2" w14:textId="77777777" w:rsidR="00357431" w:rsidRPr="00357431" w:rsidRDefault="00357431" w:rsidP="00357431">
            <w:pPr>
              <w:rPr>
                <w:rFonts w:ascii="Arial" w:hAnsi="Arial" w:cs="Arial"/>
              </w:rPr>
            </w:pPr>
            <w:r w:rsidRPr="00357431">
              <w:rPr>
                <w:rFonts w:ascii="Arial" w:hAnsi="Arial" w:cs="Arial"/>
              </w:rPr>
              <w:t xml:space="preserve">of Tonsillectomy IN Adults (NATTINA): a clinical and cost-effectiveness study: study protocol for a </w:t>
            </w:r>
            <w:proofErr w:type="spellStart"/>
            <w:r w:rsidRPr="00357431">
              <w:rPr>
                <w:rFonts w:ascii="Arial" w:hAnsi="Arial" w:cs="Arial"/>
              </w:rPr>
              <w:t>randomised</w:t>
            </w:r>
            <w:proofErr w:type="spellEnd"/>
            <w:r w:rsidRPr="00357431">
              <w:rPr>
                <w:rFonts w:ascii="Arial" w:hAnsi="Arial" w:cs="Arial"/>
              </w:rPr>
              <w:t xml:space="preserve"> control trial. Trials. 2015 Jun </w:t>
            </w:r>
            <w:proofErr w:type="gramStart"/>
            <w:r w:rsidRPr="00357431">
              <w:rPr>
                <w:rFonts w:ascii="Arial" w:hAnsi="Arial" w:cs="Arial"/>
              </w:rPr>
              <w:t>6;16:263</w:t>
            </w:r>
            <w:proofErr w:type="gramEnd"/>
            <w:r w:rsidRPr="00357431">
              <w:rPr>
                <w:rFonts w:ascii="Arial" w:hAnsi="Arial" w:cs="Arial"/>
              </w:rPr>
              <w:t>. https://</w:t>
            </w:r>
            <w:hyperlink r:id="rId9">
              <w:r w:rsidRPr="00357431">
                <w:rPr>
                  <w:rStyle w:val="Hyperlink"/>
                  <w:rFonts w:ascii="Arial" w:hAnsi="Arial" w:cs="Arial"/>
                </w:rPr>
                <w:t>www.ncbi.nlm.nih.gov/pubmed/26047934</w:t>
              </w:r>
            </w:hyperlink>
          </w:p>
          <w:p w14:paraId="2DC243F0" w14:textId="77777777" w:rsidR="00357431" w:rsidRPr="00357431" w:rsidRDefault="005A384C" w:rsidP="00357431">
            <w:pPr>
              <w:rPr>
                <w:rFonts w:ascii="Arial" w:hAnsi="Arial" w:cs="Arial"/>
              </w:rPr>
            </w:pPr>
            <w:hyperlink r:id="rId10">
              <w:r w:rsidR="00357431" w:rsidRPr="00357431">
                <w:rPr>
                  <w:rStyle w:val="Hyperlink"/>
                  <w:rFonts w:ascii="Arial" w:hAnsi="Arial" w:cs="Arial"/>
                </w:rPr>
                <w:t>http://www.sign.ac.uk/assets/sign117.pdf</w:t>
              </w:r>
            </w:hyperlink>
          </w:p>
          <w:p w14:paraId="10B514EC" w14:textId="77777777" w:rsidR="00357431" w:rsidRDefault="00357431" w:rsidP="00357431">
            <w:pPr>
              <w:rPr>
                <w:rFonts w:ascii="Arial" w:hAnsi="Arial" w:cs="Arial"/>
              </w:rPr>
            </w:pPr>
            <w:r w:rsidRPr="00357431">
              <w:rPr>
                <w:rFonts w:ascii="Arial" w:hAnsi="Arial" w:cs="Arial"/>
              </w:rPr>
              <w:t xml:space="preserve">Osbourne MS, Clark MPA. The surgical arrest of post-tonsillectomy </w:t>
            </w:r>
            <w:proofErr w:type="spellStart"/>
            <w:r w:rsidRPr="00357431">
              <w:rPr>
                <w:rFonts w:ascii="Arial" w:hAnsi="Arial" w:cs="Arial"/>
              </w:rPr>
              <w:t>haemorrhage</w:t>
            </w:r>
            <w:proofErr w:type="spellEnd"/>
            <w:r w:rsidRPr="00357431">
              <w:rPr>
                <w:rFonts w:ascii="Arial" w:hAnsi="Arial" w:cs="Arial"/>
              </w:rPr>
              <w:t>: Hospital Episode Statistics 12 years on. Annals RCS. 2018. May (100) 5: 406-408</w:t>
            </w:r>
          </w:p>
        </w:tc>
      </w:tr>
    </w:tbl>
    <w:p w14:paraId="5AB3AB40" w14:textId="77777777" w:rsidR="00357431" w:rsidRDefault="00357431" w:rsidP="00357431">
      <w:pPr>
        <w:rPr>
          <w:rFonts w:ascii="Arial" w:hAnsi="Arial" w:cs="Arial"/>
          <w:i/>
          <w:sz w:val="24"/>
        </w:rPr>
      </w:pPr>
    </w:p>
    <w:p w14:paraId="39BD9808" w14:textId="77777777" w:rsidR="00357431" w:rsidRDefault="00357431" w:rsidP="00357431">
      <w:pPr>
        <w:rPr>
          <w:rFonts w:ascii="Arial" w:hAnsi="Arial" w:cs="Arial"/>
          <w:i/>
          <w:sz w:val="24"/>
        </w:rPr>
      </w:pPr>
    </w:p>
    <w:p w14:paraId="397E4652" w14:textId="77777777" w:rsidR="00357431" w:rsidRDefault="00357431" w:rsidP="00357431">
      <w:pPr>
        <w:rPr>
          <w:rFonts w:ascii="Arial" w:hAnsi="Arial" w:cs="Arial"/>
          <w:i/>
          <w:sz w:val="24"/>
        </w:rPr>
      </w:pPr>
    </w:p>
    <w:p w14:paraId="3C5C8258" w14:textId="77777777" w:rsidR="00357431" w:rsidRPr="0002074D" w:rsidRDefault="00357431" w:rsidP="00357431">
      <w:pPr>
        <w:rPr>
          <w:rFonts w:ascii="Arial" w:hAnsi="Arial" w:cs="Arial"/>
          <w:i/>
          <w:sz w:val="24"/>
        </w:rPr>
      </w:pPr>
      <w:r w:rsidRPr="0002074D">
        <w:rPr>
          <w:rFonts w:ascii="Arial" w:hAnsi="Arial" w:cs="Arial"/>
          <w:i/>
          <w:sz w:val="24"/>
        </w:rPr>
        <w:lastRenderedPageBreak/>
        <w:t>Evidence-Based Interventions: Guidance for CCGs</w:t>
      </w:r>
    </w:p>
    <w:p w14:paraId="4401398B" w14:textId="77777777" w:rsidR="00357431" w:rsidRPr="0002074D" w:rsidRDefault="00357431" w:rsidP="00357431">
      <w:pPr>
        <w:rPr>
          <w:rFonts w:ascii="Arial" w:hAnsi="Arial" w:cs="Arial"/>
          <w:i/>
          <w:sz w:val="20"/>
        </w:rPr>
      </w:pPr>
      <w:r w:rsidRPr="0002074D">
        <w:rPr>
          <w:rFonts w:ascii="Arial" w:hAnsi="Arial" w:cs="Arial"/>
          <w:i/>
          <w:sz w:val="20"/>
        </w:rPr>
        <w:t>Published by NHS England in partnership with NHS Clinical Commissioners, the Academy of Medical Royal Colleges, NHS Improvement and the National Institute for Health and Care Excellence</w:t>
      </w:r>
    </w:p>
    <w:p w14:paraId="7E095F96" w14:textId="77777777" w:rsidR="00357431" w:rsidRPr="0002074D" w:rsidRDefault="00357431" w:rsidP="00357431">
      <w:pPr>
        <w:rPr>
          <w:rFonts w:ascii="Arial" w:hAnsi="Arial" w:cs="Arial"/>
          <w:i/>
        </w:rPr>
      </w:pPr>
      <w:r w:rsidRPr="0002074D">
        <w:rPr>
          <w:rFonts w:ascii="Arial" w:hAnsi="Arial" w:cs="Arial"/>
          <w:i/>
        </w:rPr>
        <w:t>Version number: 1</w:t>
      </w:r>
    </w:p>
    <w:p w14:paraId="48A4F261" w14:textId="77777777" w:rsidR="00357431" w:rsidRPr="0002074D" w:rsidRDefault="00357431" w:rsidP="00357431">
      <w:pPr>
        <w:rPr>
          <w:rFonts w:ascii="Arial" w:hAnsi="Arial" w:cs="Arial"/>
          <w:i/>
        </w:rPr>
      </w:pPr>
      <w:r w:rsidRPr="0002074D">
        <w:rPr>
          <w:rFonts w:ascii="Arial" w:hAnsi="Arial" w:cs="Arial"/>
          <w:i/>
        </w:rPr>
        <w:t>First published: 28 November 2018</w:t>
      </w:r>
    </w:p>
    <w:p w14:paraId="7AF35ADC" w14:textId="77777777" w:rsidR="00357431" w:rsidRPr="0002074D" w:rsidRDefault="00357431" w:rsidP="00357431">
      <w:pPr>
        <w:rPr>
          <w:rFonts w:ascii="Arial" w:hAnsi="Arial" w:cs="Arial"/>
          <w:i/>
        </w:rPr>
      </w:pPr>
      <w:r w:rsidRPr="0002074D">
        <w:rPr>
          <w:rFonts w:ascii="Arial" w:hAnsi="Arial" w:cs="Arial"/>
          <w:i/>
        </w:rPr>
        <w:t>Prepared by: NHS England Medical directorate and Strategy and Innovation directorate</w:t>
      </w:r>
    </w:p>
    <w:p w14:paraId="64F1B224" w14:textId="77777777" w:rsidR="00357431" w:rsidRPr="0002074D" w:rsidRDefault="00357431" w:rsidP="00357431">
      <w:pPr>
        <w:rPr>
          <w:rFonts w:ascii="Arial" w:hAnsi="Arial" w:cs="Arial"/>
          <w:i/>
        </w:rPr>
      </w:pPr>
      <w:r w:rsidRPr="0002074D">
        <w:rPr>
          <w:rFonts w:ascii="Arial" w:hAnsi="Arial" w:cs="Arial"/>
          <w:i/>
        </w:rPr>
        <w:t>Classification: OFFICIAL</w:t>
      </w:r>
    </w:p>
    <w:p w14:paraId="274BF19C" w14:textId="77777777" w:rsidR="00357431" w:rsidRPr="0002074D" w:rsidRDefault="00357431" w:rsidP="00357431">
      <w:pPr>
        <w:rPr>
          <w:rFonts w:ascii="Arial" w:hAnsi="Arial" w:cs="Arial"/>
          <w:i/>
        </w:rPr>
      </w:pPr>
      <w:r w:rsidRPr="0002074D">
        <w:rPr>
          <w:rFonts w:ascii="Arial" w:hAnsi="Arial" w:cs="Arial"/>
          <w:i/>
        </w:rPr>
        <w:t>NHS England Publications Gateway Reference: 08659</w:t>
      </w:r>
    </w:p>
    <w:p w14:paraId="2780C20B" w14:textId="77777777" w:rsidR="0065099C" w:rsidRPr="00357431" w:rsidRDefault="0065099C" w:rsidP="00357431">
      <w:pPr>
        <w:rPr>
          <w:rFonts w:ascii="Arial" w:hAnsi="Arial" w:cs="Arial"/>
        </w:rPr>
      </w:pPr>
    </w:p>
    <w:sectPr w:rsidR="0065099C" w:rsidRPr="00357431" w:rsidSect="00DA6161">
      <w:headerReference w:type="default" r:id="rId11"/>
      <w:pgSz w:w="12240" w:h="15840"/>
      <w:pgMar w:top="1440" w:right="1325"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9C91D" w14:textId="77777777" w:rsidR="00357431" w:rsidRDefault="00357431" w:rsidP="00357431">
      <w:r>
        <w:separator/>
      </w:r>
    </w:p>
  </w:endnote>
  <w:endnote w:type="continuationSeparator" w:id="0">
    <w:p w14:paraId="2A19A8C4" w14:textId="77777777" w:rsidR="00357431" w:rsidRDefault="00357431" w:rsidP="0035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E7B5" w14:textId="77777777" w:rsidR="00357431" w:rsidRDefault="00357431" w:rsidP="00357431">
      <w:r>
        <w:separator/>
      </w:r>
    </w:p>
  </w:footnote>
  <w:footnote w:type="continuationSeparator" w:id="0">
    <w:p w14:paraId="5BC59A5B" w14:textId="77777777" w:rsidR="00357431" w:rsidRDefault="00357431" w:rsidP="00357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38F0" w14:textId="77777777" w:rsidR="00357431" w:rsidRDefault="00357431">
    <w:pPr>
      <w:pStyle w:val="Header"/>
    </w:pPr>
    <w:r w:rsidRPr="00573022">
      <w:rPr>
        <w:noProof/>
        <w:lang w:val="en-GB" w:eastAsia="en-GB"/>
      </w:rPr>
      <w:drawing>
        <wp:inline distT="0" distB="0" distL="0" distR="0" wp14:anchorId="7DA3A046" wp14:editId="09488D3A">
          <wp:extent cx="3992880" cy="766769"/>
          <wp:effectExtent l="0" t="0" r="7620" b="0"/>
          <wp:docPr id="5" name="Picture 6" descr="Frimley Health and Care logo Final RGB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Frimley Health and Care logo Final RGB HIGH res.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94498" cy="767080"/>
                  </a:xfrm>
                  <a:prstGeom prst="rect">
                    <a:avLst/>
                  </a:prstGeom>
                </pic:spPr>
              </pic:pic>
            </a:graphicData>
          </a:graphic>
        </wp:inline>
      </w:drawing>
    </w:r>
  </w:p>
  <w:p w14:paraId="3AFA171F" w14:textId="77777777" w:rsidR="00357431" w:rsidRDefault="00357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575FD"/>
    <w:multiLevelType w:val="hybridMultilevel"/>
    <w:tmpl w:val="92042B08"/>
    <w:lvl w:ilvl="0" w:tplc="31F26E78">
      <w:start w:val="1"/>
      <w:numFmt w:val="decimal"/>
      <w:lvlText w:val="%1."/>
      <w:lvlJc w:val="left"/>
      <w:pPr>
        <w:ind w:left="674" w:hanging="283"/>
        <w:jc w:val="left"/>
      </w:pPr>
      <w:rPr>
        <w:rFonts w:ascii="Times New Roman" w:eastAsia="Times New Roman" w:hAnsi="Times New Roman" w:cs="Times New Roman" w:hint="default"/>
        <w:w w:val="110"/>
        <w:sz w:val="24"/>
        <w:szCs w:val="24"/>
      </w:rPr>
    </w:lvl>
    <w:lvl w:ilvl="1" w:tplc="4ACA8772">
      <w:numFmt w:val="bullet"/>
      <w:lvlText w:val="•"/>
      <w:lvlJc w:val="left"/>
      <w:pPr>
        <w:ind w:left="1516" w:hanging="283"/>
      </w:pPr>
      <w:rPr>
        <w:rFonts w:hint="default"/>
      </w:rPr>
    </w:lvl>
    <w:lvl w:ilvl="2" w:tplc="ACA833D8">
      <w:numFmt w:val="bullet"/>
      <w:lvlText w:val="•"/>
      <w:lvlJc w:val="left"/>
      <w:pPr>
        <w:ind w:left="2353" w:hanging="283"/>
      </w:pPr>
      <w:rPr>
        <w:rFonts w:hint="default"/>
      </w:rPr>
    </w:lvl>
    <w:lvl w:ilvl="3" w:tplc="2F5AFB8A">
      <w:numFmt w:val="bullet"/>
      <w:lvlText w:val="•"/>
      <w:lvlJc w:val="left"/>
      <w:pPr>
        <w:ind w:left="3189" w:hanging="283"/>
      </w:pPr>
      <w:rPr>
        <w:rFonts w:hint="default"/>
      </w:rPr>
    </w:lvl>
    <w:lvl w:ilvl="4" w:tplc="77A2DCF8">
      <w:numFmt w:val="bullet"/>
      <w:lvlText w:val="•"/>
      <w:lvlJc w:val="left"/>
      <w:pPr>
        <w:ind w:left="4026" w:hanging="283"/>
      </w:pPr>
      <w:rPr>
        <w:rFonts w:hint="default"/>
      </w:rPr>
    </w:lvl>
    <w:lvl w:ilvl="5" w:tplc="906ACD48">
      <w:numFmt w:val="bullet"/>
      <w:lvlText w:val="•"/>
      <w:lvlJc w:val="left"/>
      <w:pPr>
        <w:ind w:left="4862" w:hanging="283"/>
      </w:pPr>
      <w:rPr>
        <w:rFonts w:hint="default"/>
      </w:rPr>
    </w:lvl>
    <w:lvl w:ilvl="6" w:tplc="F2AAF660">
      <w:numFmt w:val="bullet"/>
      <w:lvlText w:val="•"/>
      <w:lvlJc w:val="left"/>
      <w:pPr>
        <w:ind w:left="5699" w:hanging="283"/>
      </w:pPr>
      <w:rPr>
        <w:rFonts w:hint="default"/>
      </w:rPr>
    </w:lvl>
    <w:lvl w:ilvl="7" w:tplc="7894326C">
      <w:numFmt w:val="bullet"/>
      <w:lvlText w:val="•"/>
      <w:lvlJc w:val="left"/>
      <w:pPr>
        <w:ind w:left="6535" w:hanging="283"/>
      </w:pPr>
      <w:rPr>
        <w:rFonts w:hint="default"/>
      </w:rPr>
    </w:lvl>
    <w:lvl w:ilvl="8" w:tplc="BD54D1E4">
      <w:numFmt w:val="bullet"/>
      <w:lvlText w:val="•"/>
      <w:lvlJc w:val="left"/>
      <w:pPr>
        <w:ind w:left="7372" w:hanging="283"/>
      </w:pPr>
      <w:rPr>
        <w:rFonts w:hint="default"/>
      </w:rPr>
    </w:lvl>
  </w:abstractNum>
  <w:abstractNum w:abstractNumId="1" w15:restartNumberingAfterBreak="0">
    <w:nsid w:val="4619612D"/>
    <w:multiLevelType w:val="hybridMultilevel"/>
    <w:tmpl w:val="7A5475E6"/>
    <w:lvl w:ilvl="0" w:tplc="5E5C7986">
      <w:numFmt w:val="bullet"/>
      <w:lvlText w:val="□"/>
      <w:lvlJc w:val="left"/>
      <w:pPr>
        <w:ind w:left="827" w:hanging="361"/>
      </w:pPr>
      <w:rPr>
        <w:rFonts w:ascii="Times New Roman" w:eastAsia="Times New Roman" w:hAnsi="Times New Roman" w:cs="Times New Roman" w:hint="default"/>
        <w:w w:val="75"/>
        <w:sz w:val="24"/>
        <w:szCs w:val="24"/>
      </w:rPr>
    </w:lvl>
    <w:lvl w:ilvl="1" w:tplc="A32ECC90">
      <w:numFmt w:val="bullet"/>
      <w:lvlText w:val="•"/>
      <w:lvlJc w:val="left"/>
      <w:pPr>
        <w:ind w:left="1642" w:hanging="361"/>
      </w:pPr>
      <w:rPr>
        <w:rFonts w:hint="default"/>
      </w:rPr>
    </w:lvl>
    <w:lvl w:ilvl="2" w:tplc="47502232">
      <w:numFmt w:val="bullet"/>
      <w:lvlText w:val="•"/>
      <w:lvlJc w:val="left"/>
      <w:pPr>
        <w:ind w:left="2465" w:hanging="361"/>
      </w:pPr>
      <w:rPr>
        <w:rFonts w:hint="default"/>
      </w:rPr>
    </w:lvl>
    <w:lvl w:ilvl="3" w:tplc="23EEBADA">
      <w:numFmt w:val="bullet"/>
      <w:lvlText w:val="•"/>
      <w:lvlJc w:val="left"/>
      <w:pPr>
        <w:ind w:left="3287" w:hanging="361"/>
      </w:pPr>
      <w:rPr>
        <w:rFonts w:hint="default"/>
      </w:rPr>
    </w:lvl>
    <w:lvl w:ilvl="4" w:tplc="DD769010">
      <w:numFmt w:val="bullet"/>
      <w:lvlText w:val="•"/>
      <w:lvlJc w:val="left"/>
      <w:pPr>
        <w:ind w:left="4110" w:hanging="361"/>
      </w:pPr>
      <w:rPr>
        <w:rFonts w:hint="default"/>
      </w:rPr>
    </w:lvl>
    <w:lvl w:ilvl="5" w:tplc="53ECF852">
      <w:numFmt w:val="bullet"/>
      <w:lvlText w:val="•"/>
      <w:lvlJc w:val="left"/>
      <w:pPr>
        <w:ind w:left="4932" w:hanging="361"/>
      </w:pPr>
      <w:rPr>
        <w:rFonts w:hint="default"/>
      </w:rPr>
    </w:lvl>
    <w:lvl w:ilvl="6" w:tplc="E8BE83F6">
      <w:numFmt w:val="bullet"/>
      <w:lvlText w:val="•"/>
      <w:lvlJc w:val="left"/>
      <w:pPr>
        <w:ind w:left="5755" w:hanging="361"/>
      </w:pPr>
      <w:rPr>
        <w:rFonts w:hint="default"/>
      </w:rPr>
    </w:lvl>
    <w:lvl w:ilvl="7" w:tplc="ED28DB32">
      <w:numFmt w:val="bullet"/>
      <w:lvlText w:val="•"/>
      <w:lvlJc w:val="left"/>
      <w:pPr>
        <w:ind w:left="6577" w:hanging="361"/>
      </w:pPr>
      <w:rPr>
        <w:rFonts w:hint="default"/>
      </w:rPr>
    </w:lvl>
    <w:lvl w:ilvl="8" w:tplc="964A1E38">
      <w:numFmt w:val="bullet"/>
      <w:lvlText w:val="•"/>
      <w:lvlJc w:val="left"/>
      <w:pPr>
        <w:ind w:left="7400" w:hanging="361"/>
      </w:pPr>
      <w:rPr>
        <w:rFonts w:hint="default"/>
      </w:rPr>
    </w:lvl>
  </w:abstractNum>
  <w:abstractNum w:abstractNumId="2" w15:restartNumberingAfterBreak="0">
    <w:nsid w:val="5FA464BA"/>
    <w:multiLevelType w:val="hybridMultilevel"/>
    <w:tmpl w:val="0E3C4FC0"/>
    <w:lvl w:ilvl="0" w:tplc="EB2445D4">
      <w:numFmt w:val="bullet"/>
      <w:lvlText w:val="□"/>
      <w:lvlJc w:val="left"/>
      <w:pPr>
        <w:ind w:left="827" w:hanging="361"/>
      </w:pPr>
      <w:rPr>
        <w:rFonts w:ascii="Times New Roman" w:eastAsia="Times New Roman" w:hAnsi="Times New Roman" w:cs="Times New Roman" w:hint="default"/>
        <w:w w:val="75"/>
        <w:sz w:val="24"/>
        <w:szCs w:val="24"/>
      </w:rPr>
    </w:lvl>
    <w:lvl w:ilvl="1" w:tplc="34CAB698">
      <w:numFmt w:val="bullet"/>
      <w:lvlText w:val="•"/>
      <w:lvlJc w:val="left"/>
      <w:pPr>
        <w:ind w:left="1642" w:hanging="361"/>
      </w:pPr>
      <w:rPr>
        <w:rFonts w:hint="default"/>
      </w:rPr>
    </w:lvl>
    <w:lvl w:ilvl="2" w:tplc="5E30BE50">
      <w:numFmt w:val="bullet"/>
      <w:lvlText w:val="•"/>
      <w:lvlJc w:val="left"/>
      <w:pPr>
        <w:ind w:left="2465" w:hanging="361"/>
      </w:pPr>
      <w:rPr>
        <w:rFonts w:hint="default"/>
      </w:rPr>
    </w:lvl>
    <w:lvl w:ilvl="3" w:tplc="96E2F162">
      <w:numFmt w:val="bullet"/>
      <w:lvlText w:val="•"/>
      <w:lvlJc w:val="left"/>
      <w:pPr>
        <w:ind w:left="3287" w:hanging="361"/>
      </w:pPr>
      <w:rPr>
        <w:rFonts w:hint="default"/>
      </w:rPr>
    </w:lvl>
    <w:lvl w:ilvl="4" w:tplc="F3B898D8">
      <w:numFmt w:val="bullet"/>
      <w:lvlText w:val="•"/>
      <w:lvlJc w:val="left"/>
      <w:pPr>
        <w:ind w:left="4110" w:hanging="361"/>
      </w:pPr>
      <w:rPr>
        <w:rFonts w:hint="default"/>
      </w:rPr>
    </w:lvl>
    <w:lvl w:ilvl="5" w:tplc="3B908628">
      <w:numFmt w:val="bullet"/>
      <w:lvlText w:val="•"/>
      <w:lvlJc w:val="left"/>
      <w:pPr>
        <w:ind w:left="4932" w:hanging="361"/>
      </w:pPr>
      <w:rPr>
        <w:rFonts w:hint="default"/>
      </w:rPr>
    </w:lvl>
    <w:lvl w:ilvl="6" w:tplc="161C9670">
      <w:numFmt w:val="bullet"/>
      <w:lvlText w:val="•"/>
      <w:lvlJc w:val="left"/>
      <w:pPr>
        <w:ind w:left="5755" w:hanging="361"/>
      </w:pPr>
      <w:rPr>
        <w:rFonts w:hint="default"/>
      </w:rPr>
    </w:lvl>
    <w:lvl w:ilvl="7" w:tplc="B232ACEA">
      <w:numFmt w:val="bullet"/>
      <w:lvlText w:val="•"/>
      <w:lvlJc w:val="left"/>
      <w:pPr>
        <w:ind w:left="6577" w:hanging="361"/>
      </w:pPr>
      <w:rPr>
        <w:rFonts w:hint="default"/>
      </w:rPr>
    </w:lvl>
    <w:lvl w:ilvl="8" w:tplc="318C307C">
      <w:numFmt w:val="bullet"/>
      <w:lvlText w:val="•"/>
      <w:lvlJc w:val="left"/>
      <w:pPr>
        <w:ind w:left="7400" w:hanging="361"/>
      </w:pPr>
      <w:rPr>
        <w:rFonts w:hint="default"/>
      </w:rPr>
    </w:lvl>
  </w:abstractNum>
  <w:abstractNum w:abstractNumId="3" w15:restartNumberingAfterBreak="0">
    <w:nsid w:val="693A31B8"/>
    <w:multiLevelType w:val="hybridMultilevel"/>
    <w:tmpl w:val="4AF401EC"/>
    <w:lvl w:ilvl="0" w:tplc="100AB976">
      <w:start w:val="1"/>
      <w:numFmt w:val="upperLetter"/>
      <w:lvlText w:val="%1."/>
      <w:lvlJc w:val="left"/>
      <w:pPr>
        <w:ind w:left="218" w:hanging="310"/>
        <w:jc w:val="left"/>
      </w:pPr>
      <w:rPr>
        <w:rFonts w:ascii="Times New Roman" w:eastAsia="Times New Roman" w:hAnsi="Times New Roman" w:cs="Times New Roman" w:hint="default"/>
        <w:spacing w:val="-6"/>
        <w:w w:val="99"/>
        <w:sz w:val="24"/>
        <w:szCs w:val="24"/>
      </w:rPr>
    </w:lvl>
    <w:lvl w:ilvl="1" w:tplc="891ECDCC">
      <w:numFmt w:val="bullet"/>
      <w:lvlText w:val="•"/>
      <w:lvlJc w:val="left"/>
      <w:pPr>
        <w:ind w:left="1138" w:hanging="310"/>
      </w:pPr>
      <w:rPr>
        <w:rFonts w:hint="default"/>
      </w:rPr>
    </w:lvl>
    <w:lvl w:ilvl="2" w:tplc="C212A108">
      <w:numFmt w:val="bullet"/>
      <w:lvlText w:val="•"/>
      <w:lvlJc w:val="left"/>
      <w:pPr>
        <w:ind w:left="2057" w:hanging="310"/>
      </w:pPr>
      <w:rPr>
        <w:rFonts w:hint="default"/>
      </w:rPr>
    </w:lvl>
    <w:lvl w:ilvl="3" w:tplc="2A7A1890">
      <w:numFmt w:val="bullet"/>
      <w:lvlText w:val="•"/>
      <w:lvlJc w:val="left"/>
      <w:pPr>
        <w:ind w:left="2975" w:hanging="310"/>
      </w:pPr>
      <w:rPr>
        <w:rFonts w:hint="default"/>
      </w:rPr>
    </w:lvl>
    <w:lvl w:ilvl="4" w:tplc="CFAC6E8C">
      <w:numFmt w:val="bullet"/>
      <w:lvlText w:val="•"/>
      <w:lvlJc w:val="left"/>
      <w:pPr>
        <w:ind w:left="3894" w:hanging="310"/>
      </w:pPr>
      <w:rPr>
        <w:rFonts w:hint="default"/>
      </w:rPr>
    </w:lvl>
    <w:lvl w:ilvl="5" w:tplc="535C8206">
      <w:numFmt w:val="bullet"/>
      <w:lvlText w:val="•"/>
      <w:lvlJc w:val="left"/>
      <w:pPr>
        <w:ind w:left="4813" w:hanging="310"/>
      </w:pPr>
      <w:rPr>
        <w:rFonts w:hint="default"/>
      </w:rPr>
    </w:lvl>
    <w:lvl w:ilvl="6" w:tplc="B41C0758">
      <w:numFmt w:val="bullet"/>
      <w:lvlText w:val="•"/>
      <w:lvlJc w:val="left"/>
      <w:pPr>
        <w:ind w:left="5731" w:hanging="310"/>
      </w:pPr>
      <w:rPr>
        <w:rFonts w:hint="default"/>
      </w:rPr>
    </w:lvl>
    <w:lvl w:ilvl="7" w:tplc="0A68A112">
      <w:numFmt w:val="bullet"/>
      <w:lvlText w:val="•"/>
      <w:lvlJc w:val="left"/>
      <w:pPr>
        <w:ind w:left="6650" w:hanging="310"/>
      </w:pPr>
      <w:rPr>
        <w:rFonts w:hint="default"/>
      </w:rPr>
    </w:lvl>
    <w:lvl w:ilvl="8" w:tplc="B6D6E77C">
      <w:numFmt w:val="bullet"/>
      <w:lvlText w:val="•"/>
      <w:lvlJc w:val="left"/>
      <w:pPr>
        <w:ind w:left="7569" w:hanging="310"/>
      </w:pPr>
      <w:rPr>
        <w:rFonts w:hint="default"/>
      </w:rPr>
    </w:lvl>
  </w:abstractNum>
  <w:num w:numId="1" w16cid:durableId="1116876525">
    <w:abstractNumId w:val="0"/>
  </w:num>
  <w:num w:numId="2" w16cid:durableId="1332753123">
    <w:abstractNumId w:val="2"/>
  </w:num>
  <w:num w:numId="3" w16cid:durableId="1950428740">
    <w:abstractNumId w:val="1"/>
  </w:num>
  <w:num w:numId="4" w16cid:durableId="1103261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858"/>
    <w:rsid w:val="00357431"/>
    <w:rsid w:val="005A384C"/>
    <w:rsid w:val="0065099C"/>
    <w:rsid w:val="00AE5858"/>
    <w:rsid w:val="00DA6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A5504"/>
  <w15:docId w15:val="{FEBD85B3-B421-4BEC-A1FB-A797D313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AE5858"/>
    <w:pPr>
      <w:widowControl w:val="0"/>
      <w:autoSpaceDE w:val="0"/>
      <w:autoSpaceDN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5858"/>
    <w:rPr>
      <w:sz w:val="24"/>
      <w:szCs w:val="24"/>
    </w:rPr>
  </w:style>
  <w:style w:type="character" w:customStyle="1" w:styleId="BodyTextChar">
    <w:name w:val="Body Text Char"/>
    <w:basedOn w:val="DefaultParagraphFont"/>
    <w:link w:val="BodyText"/>
    <w:uiPriority w:val="1"/>
    <w:rsid w:val="00AE5858"/>
    <w:rPr>
      <w:sz w:val="24"/>
      <w:szCs w:val="24"/>
      <w:lang w:val="en-US" w:eastAsia="en-US"/>
    </w:rPr>
  </w:style>
  <w:style w:type="paragraph" w:styleId="ListParagraph">
    <w:name w:val="List Paragraph"/>
    <w:basedOn w:val="Normal"/>
    <w:uiPriority w:val="1"/>
    <w:qFormat/>
    <w:rsid w:val="00AE5858"/>
    <w:pPr>
      <w:ind w:left="645" w:hanging="360"/>
    </w:pPr>
  </w:style>
  <w:style w:type="paragraph" w:customStyle="1" w:styleId="TableParagraph">
    <w:name w:val="Table Paragraph"/>
    <w:basedOn w:val="Normal"/>
    <w:uiPriority w:val="1"/>
    <w:qFormat/>
    <w:rsid w:val="00AE5858"/>
  </w:style>
  <w:style w:type="character" w:styleId="Hyperlink">
    <w:name w:val="Hyperlink"/>
    <w:basedOn w:val="DefaultParagraphFont"/>
    <w:rsid w:val="00AE5858"/>
    <w:rPr>
      <w:color w:val="0000FF" w:themeColor="hyperlink"/>
      <w:u w:val="single"/>
    </w:rPr>
  </w:style>
  <w:style w:type="paragraph" w:styleId="Header">
    <w:name w:val="header"/>
    <w:basedOn w:val="Normal"/>
    <w:link w:val="HeaderChar"/>
    <w:uiPriority w:val="99"/>
    <w:rsid w:val="00357431"/>
    <w:pPr>
      <w:tabs>
        <w:tab w:val="center" w:pos="4513"/>
        <w:tab w:val="right" w:pos="9026"/>
      </w:tabs>
    </w:pPr>
  </w:style>
  <w:style w:type="character" w:customStyle="1" w:styleId="HeaderChar">
    <w:name w:val="Header Char"/>
    <w:basedOn w:val="DefaultParagraphFont"/>
    <w:link w:val="Header"/>
    <w:uiPriority w:val="99"/>
    <w:rsid w:val="00357431"/>
    <w:rPr>
      <w:sz w:val="22"/>
      <w:szCs w:val="22"/>
      <w:lang w:val="en-US" w:eastAsia="en-US"/>
    </w:rPr>
  </w:style>
  <w:style w:type="paragraph" w:styleId="Footer">
    <w:name w:val="footer"/>
    <w:basedOn w:val="Normal"/>
    <w:link w:val="FooterChar"/>
    <w:rsid w:val="00357431"/>
    <w:pPr>
      <w:tabs>
        <w:tab w:val="center" w:pos="4513"/>
        <w:tab w:val="right" w:pos="9026"/>
      </w:tabs>
    </w:pPr>
  </w:style>
  <w:style w:type="character" w:customStyle="1" w:styleId="FooterChar">
    <w:name w:val="Footer Char"/>
    <w:basedOn w:val="DefaultParagraphFont"/>
    <w:link w:val="Footer"/>
    <w:rsid w:val="00357431"/>
    <w:rPr>
      <w:sz w:val="22"/>
      <w:szCs w:val="22"/>
      <w:lang w:val="en-US" w:eastAsia="en-US"/>
    </w:rPr>
  </w:style>
  <w:style w:type="paragraph" w:styleId="BalloonText">
    <w:name w:val="Balloon Text"/>
    <w:basedOn w:val="Normal"/>
    <w:link w:val="BalloonTextChar"/>
    <w:rsid w:val="00357431"/>
    <w:rPr>
      <w:rFonts w:ascii="Tahoma" w:hAnsi="Tahoma" w:cs="Tahoma"/>
      <w:sz w:val="16"/>
      <w:szCs w:val="16"/>
    </w:rPr>
  </w:style>
  <w:style w:type="character" w:customStyle="1" w:styleId="BalloonTextChar">
    <w:name w:val="Balloon Text Char"/>
    <w:basedOn w:val="DefaultParagraphFont"/>
    <w:link w:val="BalloonText"/>
    <w:rsid w:val="0035743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ac.uk/assets/sign11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omrc.org.uk/ebi/wp-content/uploads/2021/05/ebi-statutory-guidanc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ign.ac.uk/assets/sign117.pdf" TargetMode="External"/><Relationship Id="rId4" Type="http://schemas.openxmlformats.org/officeDocument/2006/relationships/webSettings" Target="webSettings.xml"/><Relationship Id="rId9" Type="http://schemas.openxmlformats.org/officeDocument/2006/relationships/hyperlink" Target="http://www.ncbi.nlm.nih.gov/pubmed/260479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Hall - Senior Contracts Manager</dc:creator>
  <cp:lastModifiedBy>HALL, Karen (FRIMLEY HEALTH NHS FOUNDATION TRUST)</cp:lastModifiedBy>
  <cp:revision>2</cp:revision>
  <dcterms:created xsi:type="dcterms:W3CDTF">2023-02-22T11:39:00Z</dcterms:created>
  <dcterms:modified xsi:type="dcterms:W3CDTF">2023-02-22T11:39:00Z</dcterms:modified>
</cp:coreProperties>
</file>