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7197" w14:textId="77777777" w:rsidR="00133176" w:rsidRDefault="00133176" w:rsidP="00962E57">
      <w:pPr>
        <w:rPr>
          <w:rFonts w:ascii="Arial" w:hAnsi="Arial" w:cs="Arial"/>
        </w:rPr>
      </w:pPr>
    </w:p>
    <w:p w14:paraId="72A47198" w14:textId="506F0D66" w:rsidR="00133176" w:rsidRPr="00A71DB2" w:rsidRDefault="00133176" w:rsidP="00133176">
      <w:pPr>
        <w:rPr>
          <w:rFonts w:ascii="Arial" w:hAnsi="Arial" w:cs="Arial"/>
          <w:i/>
          <w:sz w:val="18"/>
          <w:szCs w:val="18"/>
        </w:rPr>
      </w:pPr>
      <w:r w:rsidRPr="00A71DB2">
        <w:rPr>
          <w:rFonts w:ascii="Arial" w:hAnsi="Arial" w:cs="Arial"/>
          <w:i/>
          <w:sz w:val="18"/>
          <w:szCs w:val="18"/>
        </w:rPr>
        <w:t xml:space="preserve">Extract from the below named document for ICS Implementation purposes;  </w:t>
      </w:r>
      <w:hyperlink r:id="rId7" w:history="1">
        <w:r w:rsidR="00A71DB2" w:rsidRPr="00A71DB2">
          <w:rPr>
            <w:rStyle w:val="Hyperlink"/>
            <w:rFonts w:ascii="Arial" w:hAnsi="Arial" w:cs="Arial"/>
            <w:i/>
            <w:sz w:val="18"/>
            <w:szCs w:val="18"/>
          </w:rPr>
          <w:t>Microsoft Word - EBI consultation response statutory guidance 11 Jan 2019 FINAL v2.0 CLEAN + cover sheet.docx (aomrc.org.uk)</w:t>
        </w:r>
      </w:hyperlink>
    </w:p>
    <w:p w14:paraId="72A47199" w14:textId="77777777" w:rsidR="00133176" w:rsidRDefault="00133176" w:rsidP="00133176">
      <w:pPr>
        <w:jc w:val="center"/>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________________________________________________________________</w:t>
      </w:r>
    </w:p>
    <w:p w14:paraId="72A4719A" w14:textId="77777777" w:rsidR="00133176" w:rsidRDefault="00133176" w:rsidP="00133176">
      <w:pPr>
        <w:rPr>
          <w:rFonts w:ascii="Arial" w:hAnsi="Arial" w:cs="Arial"/>
        </w:rPr>
      </w:pPr>
    </w:p>
    <w:p w14:paraId="72A4719B" w14:textId="77777777" w:rsidR="00133176" w:rsidRDefault="00133176" w:rsidP="00962E57">
      <w:pPr>
        <w:rPr>
          <w:rFonts w:ascii="Arial" w:hAnsi="Arial" w:cs="Arial"/>
        </w:rPr>
      </w:pPr>
    </w:p>
    <w:p w14:paraId="72A4719C" w14:textId="77777777" w:rsidR="00962E57" w:rsidRPr="00133176" w:rsidRDefault="00962E57" w:rsidP="00962E57">
      <w:pPr>
        <w:rPr>
          <w:rFonts w:ascii="Arial" w:hAnsi="Arial" w:cs="Arial"/>
        </w:rPr>
      </w:pPr>
      <w:r w:rsidRPr="00133176">
        <w:rPr>
          <w:rFonts w:ascii="Arial" w:hAnsi="Arial" w:cs="Arial"/>
        </w:rPr>
        <w:t>Grommets for Glue Ear in Children</w:t>
      </w:r>
    </w:p>
    <w:p w14:paraId="72A4719D" w14:textId="77777777" w:rsidR="00962E57" w:rsidRPr="00133176" w:rsidRDefault="00962E57" w:rsidP="00962E57">
      <w:pPr>
        <w:rPr>
          <w:rFonts w:ascii="Arial" w:hAnsi="Arial" w:cs="Arial"/>
        </w:rPr>
      </w:pPr>
    </w:p>
    <w:p w14:paraId="72A4719E" w14:textId="77777777" w:rsidR="00962E57" w:rsidRPr="00133176" w:rsidRDefault="00962E57" w:rsidP="00962E57">
      <w:pPr>
        <w:rPr>
          <w:rFonts w:ascii="Arial" w:hAnsi="Arial" w:cs="Arial"/>
        </w:rPr>
      </w:pPr>
      <w:r w:rsidRPr="00133176">
        <w:rPr>
          <w:rFonts w:ascii="Arial" w:hAnsi="Arial" w:cs="Arial"/>
        </w:rPr>
        <w:t>Updated description of the intervention</w:t>
      </w:r>
    </w:p>
    <w:p w14:paraId="72A4719F" w14:textId="77777777" w:rsidR="00962E57" w:rsidRPr="00133176" w:rsidRDefault="00962E57" w:rsidP="00962E57">
      <w:pPr>
        <w:rPr>
          <w:rFonts w:ascii="Arial" w:hAnsi="Arial" w:cs="Arial"/>
        </w:rPr>
      </w:pPr>
    </w:p>
    <w:p w14:paraId="72A471A0" w14:textId="5908AAB0" w:rsidR="00962E57" w:rsidRPr="00133176" w:rsidRDefault="00962E57" w:rsidP="00962E57">
      <w:pPr>
        <w:rPr>
          <w:rFonts w:ascii="Arial" w:hAnsi="Arial" w:cs="Arial"/>
        </w:rPr>
      </w:pPr>
      <w:r w:rsidRPr="00133176">
        <w:rPr>
          <w:rFonts w:ascii="Arial" w:hAnsi="Arial" w:cs="Arial"/>
        </w:rPr>
        <w:t>Evidence suggests that grommets only offer a short-term hearing improvement in children with glue ear who have no other serious medical problems or disabilities. They should be offered in cases that have a history of persistent (at least 3 months) bilateral, hearing loss as defined by the NICE guidance. Hearing aids can also be offered as an alternative to surgery.</w:t>
      </w:r>
    </w:p>
    <w:p w14:paraId="72A471A1" w14:textId="77777777" w:rsidR="00962E57" w:rsidRPr="00133176" w:rsidRDefault="00962E57" w:rsidP="00962E57">
      <w:pPr>
        <w:rPr>
          <w:rFonts w:ascii="Arial" w:hAnsi="Arial" w:cs="Arial"/>
        </w:rPr>
      </w:pPr>
    </w:p>
    <w:p w14:paraId="72A471A2" w14:textId="77777777" w:rsidR="00962E57" w:rsidRPr="00133176" w:rsidRDefault="00962E57" w:rsidP="00962E57">
      <w:pPr>
        <w:rPr>
          <w:rFonts w:ascii="Arial" w:hAnsi="Arial" w:cs="Arial"/>
        </w:rPr>
      </w:pPr>
      <w:r w:rsidRPr="00133176">
        <w:rPr>
          <w:rFonts w:ascii="Arial" w:hAnsi="Arial" w:cs="Arial"/>
        </w:rPr>
        <w:t>Updated clinical criteria</w:t>
      </w:r>
    </w:p>
    <w:p w14:paraId="72A471A3" w14:textId="77777777" w:rsidR="00962E57" w:rsidRPr="00133176" w:rsidRDefault="00962E57" w:rsidP="00962E57">
      <w:pPr>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962E57" w:rsidRPr="00133176" w14:paraId="72A471A5" w14:textId="77777777" w:rsidTr="00B86C38">
        <w:trPr>
          <w:trHeight w:val="275"/>
        </w:trPr>
        <w:tc>
          <w:tcPr>
            <w:tcW w:w="9923" w:type="dxa"/>
            <w:shd w:val="clear" w:color="auto" w:fill="16365D"/>
          </w:tcPr>
          <w:p w14:paraId="72A471A4" w14:textId="77777777" w:rsidR="00962E57" w:rsidRPr="00133176" w:rsidRDefault="00962E57" w:rsidP="00962E57">
            <w:pPr>
              <w:rPr>
                <w:rFonts w:ascii="Arial" w:hAnsi="Arial" w:cs="Arial"/>
              </w:rPr>
            </w:pPr>
            <w:r w:rsidRPr="00133176">
              <w:rPr>
                <w:rFonts w:ascii="Arial" w:hAnsi="Arial" w:cs="Arial"/>
              </w:rPr>
              <w:t>Summary of intervention</w:t>
            </w:r>
          </w:p>
        </w:tc>
      </w:tr>
      <w:tr w:rsidR="00962E57" w:rsidRPr="00133176" w14:paraId="72A471B0" w14:textId="77777777" w:rsidTr="00B86C38">
        <w:trPr>
          <w:trHeight w:val="1658"/>
        </w:trPr>
        <w:tc>
          <w:tcPr>
            <w:tcW w:w="9923" w:type="dxa"/>
          </w:tcPr>
          <w:p w14:paraId="72A471A6" w14:textId="77777777" w:rsidR="00962E57" w:rsidRPr="00133176" w:rsidRDefault="00962E57" w:rsidP="00962E57">
            <w:pPr>
              <w:rPr>
                <w:rFonts w:ascii="Arial" w:hAnsi="Arial" w:cs="Arial"/>
              </w:rPr>
            </w:pPr>
            <w:r w:rsidRPr="00133176">
              <w:rPr>
                <w:rFonts w:ascii="Arial" w:hAnsi="Arial" w:cs="Arial"/>
              </w:rPr>
              <w:t xml:space="preserve">This is a surgical procedure to insert tiny tubes (grommets) into the eardrum as a treatment for fluid </w:t>
            </w:r>
            <w:proofErr w:type="spellStart"/>
            <w:r w:rsidRPr="00133176">
              <w:rPr>
                <w:rFonts w:ascii="Arial" w:hAnsi="Arial" w:cs="Arial"/>
              </w:rPr>
              <w:t>build up</w:t>
            </w:r>
            <w:proofErr w:type="spellEnd"/>
            <w:r w:rsidRPr="00133176">
              <w:rPr>
                <w:rFonts w:ascii="Arial" w:hAnsi="Arial" w:cs="Arial"/>
              </w:rPr>
              <w:t xml:space="preserve"> (glue ear) when it is affecting hearing in children.</w:t>
            </w:r>
          </w:p>
          <w:p w14:paraId="72A471A7" w14:textId="77777777" w:rsidR="00962E57" w:rsidRPr="00133176" w:rsidRDefault="00962E57" w:rsidP="00962E57">
            <w:pPr>
              <w:rPr>
                <w:rFonts w:ascii="Arial" w:hAnsi="Arial" w:cs="Arial"/>
              </w:rPr>
            </w:pPr>
          </w:p>
          <w:p w14:paraId="72A471A8" w14:textId="77777777" w:rsidR="00B86C38" w:rsidRDefault="00962E57" w:rsidP="00B86C38">
            <w:pPr>
              <w:rPr>
                <w:rFonts w:ascii="Arial" w:hAnsi="Arial" w:cs="Arial"/>
              </w:rPr>
            </w:pPr>
            <w:r w:rsidRPr="00133176">
              <w:rPr>
                <w:rFonts w:ascii="Arial" w:hAnsi="Arial" w:cs="Arial"/>
              </w:rPr>
              <w:t>Glue ear is a very common childhood problem (4 out of 5 children will have had an episode by age 10), and in most cases it clears up without treatment within a few weeks. Common symptoms can include earache and a reduction in hearing.</w:t>
            </w:r>
            <w:r w:rsidR="00B86C38" w:rsidRPr="00133176">
              <w:rPr>
                <w:rFonts w:ascii="Arial" w:hAnsi="Arial" w:cs="Arial"/>
              </w:rPr>
              <w:t xml:space="preserve"> </w:t>
            </w:r>
          </w:p>
          <w:p w14:paraId="72A471A9" w14:textId="77777777" w:rsidR="00B86C38" w:rsidRDefault="00B86C38" w:rsidP="00B86C38">
            <w:pPr>
              <w:rPr>
                <w:rFonts w:ascii="Arial" w:hAnsi="Arial" w:cs="Arial"/>
              </w:rPr>
            </w:pPr>
          </w:p>
          <w:p w14:paraId="72A471AA" w14:textId="77777777" w:rsidR="00B86C38" w:rsidRPr="00133176" w:rsidRDefault="00B86C38" w:rsidP="00B86C38">
            <w:pPr>
              <w:rPr>
                <w:rFonts w:ascii="Arial" w:hAnsi="Arial" w:cs="Arial"/>
              </w:rPr>
            </w:pPr>
            <w:r w:rsidRPr="00133176">
              <w:rPr>
                <w:rFonts w:ascii="Arial" w:hAnsi="Arial" w:cs="Arial"/>
              </w:rPr>
              <w:t xml:space="preserve">Often, when the hearing loss is affecting both ears it can cause language, educational and </w:t>
            </w:r>
            <w:proofErr w:type="spellStart"/>
            <w:r w:rsidRPr="00133176">
              <w:rPr>
                <w:rFonts w:ascii="Arial" w:hAnsi="Arial" w:cs="Arial"/>
              </w:rPr>
              <w:t>behavioural</w:t>
            </w:r>
            <w:proofErr w:type="spellEnd"/>
            <w:r w:rsidRPr="00133176">
              <w:rPr>
                <w:rFonts w:ascii="Arial" w:hAnsi="Arial" w:cs="Arial"/>
              </w:rPr>
              <w:t xml:space="preserve"> problems.</w:t>
            </w:r>
          </w:p>
          <w:p w14:paraId="72A471AB" w14:textId="77777777" w:rsidR="00B86C38" w:rsidRPr="00133176" w:rsidRDefault="00B86C38" w:rsidP="00B86C38">
            <w:pPr>
              <w:rPr>
                <w:rFonts w:ascii="Arial" w:hAnsi="Arial" w:cs="Arial"/>
              </w:rPr>
            </w:pPr>
          </w:p>
          <w:p w14:paraId="72A471AC" w14:textId="77777777" w:rsidR="00B86C38" w:rsidRPr="00133176" w:rsidRDefault="00B86C38" w:rsidP="00B86C38">
            <w:pPr>
              <w:rPr>
                <w:rFonts w:ascii="Arial" w:hAnsi="Arial" w:cs="Arial"/>
              </w:rPr>
            </w:pPr>
            <w:r w:rsidRPr="00133176">
              <w:rPr>
                <w:rFonts w:ascii="Arial" w:hAnsi="Arial" w:cs="Arial"/>
              </w:rPr>
              <w:t>Please note this guidance only relates to children with Glue Ear (Otitis Media with Effusion) and SHOULD NOT be applied to other clinical conditions where grommet insertion should continue to be normally funded, these include:</w:t>
            </w:r>
          </w:p>
          <w:p w14:paraId="72A471AD" w14:textId="77777777" w:rsidR="00B86C38" w:rsidRPr="00133176" w:rsidRDefault="00B86C38" w:rsidP="00B86C38">
            <w:pPr>
              <w:rPr>
                <w:rFonts w:ascii="Arial" w:hAnsi="Arial" w:cs="Arial"/>
              </w:rPr>
            </w:pPr>
            <w:r w:rsidRPr="00133176">
              <w:rPr>
                <w:rFonts w:ascii="Arial" w:hAnsi="Arial" w:cs="Arial"/>
              </w:rPr>
              <w:t>Recurrent acute otitis media</w:t>
            </w:r>
          </w:p>
          <w:p w14:paraId="72A471AE" w14:textId="77777777" w:rsidR="00B86C38" w:rsidRPr="00133176" w:rsidRDefault="00B86C38" w:rsidP="00B86C38">
            <w:pPr>
              <w:rPr>
                <w:rFonts w:ascii="Arial" w:hAnsi="Arial" w:cs="Arial"/>
              </w:rPr>
            </w:pPr>
            <w:r w:rsidRPr="00133176">
              <w:rPr>
                <w:rFonts w:ascii="Arial" w:hAnsi="Arial" w:cs="Arial"/>
              </w:rPr>
              <w:t>Atrophic tympanic membranes</w:t>
            </w:r>
          </w:p>
          <w:p w14:paraId="72A471AF" w14:textId="77777777" w:rsidR="00962E57" w:rsidRPr="00133176" w:rsidRDefault="00B86C38" w:rsidP="00B86C38">
            <w:pPr>
              <w:rPr>
                <w:rFonts w:ascii="Arial" w:hAnsi="Arial" w:cs="Arial"/>
              </w:rPr>
            </w:pPr>
            <w:r w:rsidRPr="00133176">
              <w:rPr>
                <w:rFonts w:ascii="Arial" w:hAnsi="Arial" w:cs="Arial"/>
              </w:rPr>
              <w:t xml:space="preserve">Access to middle ear for </w:t>
            </w:r>
            <w:proofErr w:type="spellStart"/>
            <w:r w:rsidRPr="00133176">
              <w:rPr>
                <w:rFonts w:ascii="Arial" w:hAnsi="Arial" w:cs="Arial"/>
              </w:rPr>
              <w:t>transtympanic</w:t>
            </w:r>
            <w:proofErr w:type="spellEnd"/>
            <w:r w:rsidRPr="00133176">
              <w:rPr>
                <w:rFonts w:ascii="Arial" w:hAnsi="Arial" w:cs="Arial"/>
              </w:rPr>
              <w:t xml:space="preserve"> instillation of medication Investigation of unilateral glue ear in adults</w:t>
            </w:r>
          </w:p>
        </w:tc>
      </w:tr>
      <w:tr w:rsidR="00962E57" w:rsidRPr="00133176" w14:paraId="72A471B2" w14:textId="77777777" w:rsidTr="00B86C38">
        <w:trPr>
          <w:trHeight w:val="529"/>
        </w:trPr>
        <w:tc>
          <w:tcPr>
            <w:tcW w:w="9923" w:type="dxa"/>
            <w:shd w:val="clear" w:color="auto" w:fill="16365D"/>
          </w:tcPr>
          <w:p w14:paraId="72A471B1" w14:textId="77777777" w:rsidR="00962E57" w:rsidRPr="00133176" w:rsidRDefault="00962E57" w:rsidP="00962E57">
            <w:pPr>
              <w:rPr>
                <w:rFonts w:ascii="Arial" w:hAnsi="Arial" w:cs="Arial"/>
              </w:rPr>
            </w:pPr>
            <w:r w:rsidRPr="00133176">
              <w:rPr>
                <w:rFonts w:ascii="Arial" w:hAnsi="Arial" w:cs="Arial"/>
              </w:rPr>
              <w:t>Number of CCG interventions in 2017/18</w:t>
            </w:r>
          </w:p>
        </w:tc>
      </w:tr>
      <w:tr w:rsidR="00962E57" w:rsidRPr="00133176" w14:paraId="72A471B4" w14:textId="77777777" w:rsidTr="00B86C38">
        <w:trPr>
          <w:trHeight w:val="551"/>
        </w:trPr>
        <w:tc>
          <w:tcPr>
            <w:tcW w:w="9923" w:type="dxa"/>
          </w:tcPr>
          <w:p w14:paraId="72A471B3" w14:textId="77777777" w:rsidR="00962E57" w:rsidRPr="00133176" w:rsidRDefault="00962E57" w:rsidP="00962E57">
            <w:pPr>
              <w:rPr>
                <w:rFonts w:ascii="Arial" w:hAnsi="Arial" w:cs="Arial"/>
              </w:rPr>
            </w:pPr>
            <w:r w:rsidRPr="00133176">
              <w:rPr>
                <w:rFonts w:ascii="Arial" w:hAnsi="Arial" w:cs="Arial"/>
              </w:rPr>
              <w:t>8,669</w:t>
            </w:r>
          </w:p>
        </w:tc>
      </w:tr>
      <w:tr w:rsidR="00962E57" w:rsidRPr="00133176" w14:paraId="72A471B6" w14:textId="77777777" w:rsidTr="00B86C38">
        <w:trPr>
          <w:trHeight w:val="277"/>
        </w:trPr>
        <w:tc>
          <w:tcPr>
            <w:tcW w:w="9923" w:type="dxa"/>
            <w:shd w:val="clear" w:color="auto" w:fill="16365D"/>
          </w:tcPr>
          <w:p w14:paraId="72A471B5" w14:textId="77777777" w:rsidR="00962E57" w:rsidRPr="00133176" w:rsidRDefault="00962E57" w:rsidP="00962E57">
            <w:pPr>
              <w:rPr>
                <w:rFonts w:ascii="Arial" w:hAnsi="Arial" w:cs="Arial"/>
              </w:rPr>
            </w:pPr>
            <w:r w:rsidRPr="00133176">
              <w:rPr>
                <w:rFonts w:ascii="Arial" w:hAnsi="Arial" w:cs="Arial"/>
              </w:rPr>
              <w:t>Recommendation</w:t>
            </w:r>
          </w:p>
        </w:tc>
      </w:tr>
      <w:tr w:rsidR="00B86C38" w:rsidRPr="00133176" w14:paraId="72A471C3" w14:textId="77777777" w:rsidTr="00B86C38">
        <w:trPr>
          <w:trHeight w:val="277"/>
        </w:trPr>
        <w:tc>
          <w:tcPr>
            <w:tcW w:w="9923" w:type="dxa"/>
            <w:shd w:val="clear" w:color="auto" w:fill="FFFFFF" w:themeFill="background1"/>
          </w:tcPr>
          <w:p w14:paraId="72A471B7" w14:textId="77777777" w:rsidR="00B86C38" w:rsidRPr="00133176" w:rsidRDefault="00B86C38" w:rsidP="00B86C38">
            <w:pPr>
              <w:rPr>
                <w:rFonts w:ascii="Arial" w:hAnsi="Arial" w:cs="Arial"/>
              </w:rPr>
            </w:pPr>
            <w:r w:rsidRPr="00133176">
              <w:rPr>
                <w:rFonts w:ascii="Arial" w:hAnsi="Arial" w:cs="Arial"/>
              </w:rPr>
              <w:t>The NHS should only commission this surgery for the treatment of glue ear in children when the criteria set out by the NICE guidelines are met:</w:t>
            </w:r>
          </w:p>
          <w:p w14:paraId="72A471B8" w14:textId="77777777" w:rsidR="00B86C38" w:rsidRPr="00133176" w:rsidRDefault="00B86C38" w:rsidP="00B86C38">
            <w:pPr>
              <w:rPr>
                <w:rFonts w:ascii="Arial" w:hAnsi="Arial" w:cs="Arial"/>
              </w:rPr>
            </w:pPr>
            <w:r w:rsidRPr="00133176">
              <w:rPr>
                <w:rFonts w:ascii="Arial" w:hAnsi="Arial" w:cs="Arial"/>
              </w:rPr>
              <w:t xml:space="preserve">All children must have had specialist audiology and </w:t>
            </w:r>
            <w:proofErr w:type="spellStart"/>
            <w:r w:rsidRPr="00133176">
              <w:rPr>
                <w:rFonts w:ascii="Arial" w:hAnsi="Arial" w:cs="Arial"/>
              </w:rPr>
              <w:t>ENT</w:t>
            </w:r>
            <w:proofErr w:type="spellEnd"/>
            <w:r w:rsidRPr="00133176">
              <w:rPr>
                <w:rFonts w:ascii="Arial" w:hAnsi="Arial" w:cs="Arial"/>
              </w:rPr>
              <w:t xml:space="preserve"> assessment.</w:t>
            </w:r>
          </w:p>
          <w:p w14:paraId="72A471B9" w14:textId="77777777" w:rsidR="00B86C38" w:rsidRPr="00133176" w:rsidRDefault="00B86C38" w:rsidP="00B86C38">
            <w:pPr>
              <w:rPr>
                <w:rFonts w:ascii="Arial" w:hAnsi="Arial" w:cs="Arial"/>
              </w:rPr>
            </w:pPr>
            <w:r w:rsidRPr="00133176">
              <w:rPr>
                <w:rFonts w:ascii="Arial" w:hAnsi="Arial" w:cs="Arial"/>
              </w:rPr>
              <w:t>Persistent bilateral otitis media with effusion over a period of 3 months.</w:t>
            </w:r>
          </w:p>
          <w:p w14:paraId="72A471BA" w14:textId="77777777" w:rsidR="00B86C38" w:rsidRPr="00133176" w:rsidRDefault="00B86C38" w:rsidP="00B86C38">
            <w:pPr>
              <w:rPr>
                <w:rFonts w:ascii="Arial" w:hAnsi="Arial" w:cs="Arial"/>
              </w:rPr>
            </w:pPr>
            <w:r w:rsidRPr="00133176">
              <w:rPr>
                <w:rFonts w:ascii="Arial" w:hAnsi="Arial" w:cs="Arial"/>
              </w:rPr>
              <w:t xml:space="preserve">Hearing level in the better ear </w:t>
            </w:r>
            <w:proofErr w:type="gramStart"/>
            <w:r w:rsidRPr="00133176">
              <w:rPr>
                <w:rFonts w:ascii="Arial" w:hAnsi="Arial" w:cs="Arial"/>
              </w:rPr>
              <w:t>of  25</w:t>
            </w:r>
            <w:proofErr w:type="gramEnd"/>
            <w:r w:rsidRPr="00133176">
              <w:rPr>
                <w:rFonts w:ascii="Arial" w:hAnsi="Arial" w:cs="Arial"/>
              </w:rPr>
              <w:t>-30dbHL or worse averaged  at 0.5, 1, 2,  &amp; 4kHz</w:t>
            </w:r>
          </w:p>
          <w:p w14:paraId="72A471BB" w14:textId="77777777" w:rsidR="00B86C38" w:rsidRPr="00133176" w:rsidRDefault="00B86C38" w:rsidP="00B86C38">
            <w:pPr>
              <w:rPr>
                <w:rFonts w:ascii="Arial" w:hAnsi="Arial" w:cs="Arial"/>
              </w:rPr>
            </w:pPr>
            <w:r w:rsidRPr="00133176">
              <w:rPr>
                <w:rFonts w:ascii="Arial" w:hAnsi="Arial" w:cs="Arial"/>
              </w:rPr>
              <w:t xml:space="preserve">Exceptionally, healthcare professionals should consider surgical intervention in children with persistent bilateral </w:t>
            </w:r>
            <w:proofErr w:type="spellStart"/>
            <w:r w:rsidRPr="00133176">
              <w:rPr>
                <w:rFonts w:ascii="Arial" w:hAnsi="Arial" w:cs="Arial"/>
              </w:rPr>
              <w:t>OME</w:t>
            </w:r>
            <w:proofErr w:type="spellEnd"/>
            <w:r w:rsidRPr="00133176">
              <w:rPr>
                <w:rFonts w:ascii="Arial" w:hAnsi="Arial" w:cs="Arial"/>
              </w:rPr>
              <w:t xml:space="preserve"> with a hearing loss less than 25-30dbHL where the impact of the hearing loss on a child’s developmental, </w:t>
            </w:r>
            <w:proofErr w:type="gramStart"/>
            <w:r w:rsidRPr="00133176">
              <w:rPr>
                <w:rFonts w:ascii="Arial" w:hAnsi="Arial" w:cs="Arial"/>
              </w:rPr>
              <w:t>social</w:t>
            </w:r>
            <w:proofErr w:type="gramEnd"/>
            <w:r w:rsidRPr="00133176">
              <w:rPr>
                <w:rFonts w:ascii="Arial" w:hAnsi="Arial" w:cs="Arial"/>
              </w:rPr>
              <w:t xml:space="preserve"> or educational status is judged to be significant.</w:t>
            </w:r>
          </w:p>
          <w:p w14:paraId="72A471BC" w14:textId="77777777" w:rsidR="00B86C38" w:rsidRPr="00133176" w:rsidRDefault="00B86C38" w:rsidP="00B86C38">
            <w:pPr>
              <w:rPr>
                <w:rFonts w:ascii="Arial" w:hAnsi="Arial" w:cs="Arial"/>
              </w:rPr>
            </w:pPr>
            <w:r w:rsidRPr="00133176">
              <w:rPr>
                <w:rFonts w:ascii="Arial" w:hAnsi="Arial" w:cs="Arial"/>
              </w:rPr>
              <w:lastRenderedPageBreak/>
              <w:t xml:space="preserve">Healthcare professionals should also consider surgical intervention in children who cannot undergo standard assessment of hearing thresholds where there is clinical and </w:t>
            </w:r>
            <w:proofErr w:type="spellStart"/>
            <w:r w:rsidRPr="00133176">
              <w:rPr>
                <w:rFonts w:ascii="Arial" w:hAnsi="Arial" w:cs="Arial"/>
              </w:rPr>
              <w:t>tympanographic</w:t>
            </w:r>
            <w:proofErr w:type="spellEnd"/>
            <w:r w:rsidRPr="00133176">
              <w:rPr>
                <w:rFonts w:ascii="Arial" w:hAnsi="Arial" w:cs="Arial"/>
              </w:rPr>
              <w:t xml:space="preserve"> evidence of persistent glue ear and where the impact of the hearing loss on a child’s developmental, </w:t>
            </w:r>
            <w:proofErr w:type="gramStart"/>
            <w:r w:rsidRPr="00133176">
              <w:rPr>
                <w:rFonts w:ascii="Arial" w:hAnsi="Arial" w:cs="Arial"/>
              </w:rPr>
              <w:t>social</w:t>
            </w:r>
            <w:proofErr w:type="gramEnd"/>
            <w:r w:rsidRPr="00133176">
              <w:rPr>
                <w:rFonts w:ascii="Arial" w:hAnsi="Arial" w:cs="Arial"/>
              </w:rPr>
              <w:t xml:space="preserve"> or educational status is judged to be significant.</w:t>
            </w:r>
          </w:p>
          <w:p w14:paraId="72A471BD" w14:textId="77777777" w:rsidR="00B86C38" w:rsidRPr="00133176" w:rsidRDefault="00B86C38" w:rsidP="00B86C38">
            <w:pPr>
              <w:rPr>
                <w:rFonts w:ascii="Arial" w:hAnsi="Arial" w:cs="Arial"/>
              </w:rPr>
            </w:pPr>
            <w:r w:rsidRPr="00133176">
              <w:rPr>
                <w:rFonts w:ascii="Arial" w:hAnsi="Arial" w:cs="Arial"/>
              </w:rPr>
              <w:t>The guidance is different for children with Down’s Syndrome and Cleft Palate, these children may be offered grommets after a specialist MDT assessment in line with NICE guidance.</w:t>
            </w:r>
          </w:p>
          <w:p w14:paraId="72A471BE" w14:textId="77777777" w:rsidR="00B86C38" w:rsidRPr="00133176" w:rsidRDefault="00B86C38" w:rsidP="00B86C38">
            <w:pPr>
              <w:rPr>
                <w:rFonts w:ascii="Arial" w:hAnsi="Arial" w:cs="Arial"/>
              </w:rPr>
            </w:pPr>
            <w:r w:rsidRPr="00133176">
              <w:rPr>
                <w:rFonts w:ascii="Arial" w:hAnsi="Arial" w:cs="Arial"/>
              </w:rPr>
              <w:t>It is also good practice to ensure glue ear has not resolved once a date of surgery has been agreed, with tympanometry as a minimum.</w:t>
            </w:r>
          </w:p>
          <w:p w14:paraId="72A471BF" w14:textId="77777777" w:rsidR="00B86C38" w:rsidRPr="00133176" w:rsidRDefault="00B86C38" w:rsidP="00B86C38">
            <w:pPr>
              <w:rPr>
                <w:rFonts w:ascii="Arial" w:hAnsi="Arial" w:cs="Arial"/>
              </w:rPr>
            </w:pPr>
          </w:p>
          <w:p w14:paraId="72A471C0" w14:textId="77777777" w:rsidR="00B86C38" w:rsidRPr="00133176" w:rsidRDefault="00B86C38" w:rsidP="00B86C38">
            <w:pPr>
              <w:rPr>
                <w:rFonts w:ascii="Arial" w:hAnsi="Arial" w:cs="Arial"/>
              </w:rPr>
            </w:pPr>
            <w:r w:rsidRPr="00133176">
              <w:rPr>
                <w:rFonts w:ascii="Arial" w:hAnsi="Arial" w:cs="Arial"/>
              </w:rPr>
              <w:t xml:space="preserve">For further information, please </w:t>
            </w:r>
            <w:proofErr w:type="gramStart"/>
            <w:r w:rsidRPr="00133176">
              <w:rPr>
                <w:rFonts w:ascii="Arial" w:hAnsi="Arial" w:cs="Arial"/>
              </w:rPr>
              <w:t>see:</w:t>
            </w:r>
            <w:proofErr w:type="gramEnd"/>
            <w:r w:rsidRPr="00133176">
              <w:rPr>
                <w:rFonts w:ascii="Arial" w:hAnsi="Arial" w:cs="Arial"/>
              </w:rPr>
              <w:t xml:space="preserve"> https://</w:t>
            </w:r>
            <w:hyperlink r:id="rId8">
              <w:r w:rsidRPr="00133176">
                <w:rPr>
                  <w:rStyle w:val="Hyperlink"/>
                  <w:rFonts w:ascii="Arial" w:hAnsi="Arial" w:cs="Arial"/>
                </w:rPr>
                <w:t>www.nice.org.uk/Guidance/CG60.</w:t>
              </w:r>
            </w:hyperlink>
          </w:p>
          <w:p w14:paraId="72A471C1" w14:textId="77777777" w:rsidR="00B86C38" w:rsidRPr="00133176" w:rsidRDefault="00B86C38" w:rsidP="00B86C38">
            <w:pPr>
              <w:rPr>
                <w:rFonts w:ascii="Arial" w:hAnsi="Arial" w:cs="Arial"/>
              </w:rPr>
            </w:pPr>
          </w:p>
          <w:p w14:paraId="72A471C2" w14:textId="77777777" w:rsidR="00B86C38" w:rsidRPr="00133176" w:rsidRDefault="00B86C38" w:rsidP="00B86C38">
            <w:pPr>
              <w:rPr>
                <w:rFonts w:ascii="Arial" w:hAnsi="Arial" w:cs="Arial"/>
              </w:rPr>
            </w:pPr>
            <w:r w:rsidRPr="00133176">
              <w:rPr>
                <w:rFonts w:ascii="Arial" w:hAnsi="Arial" w:cs="Arial"/>
              </w:rPr>
              <w:t>The risks to surgery are generally low, but the most common is persistent ear discharge (10-20%) and this can require treatment with antibiotic eardrops and water precautions. In rare cases (1-2%) a persistent hole in the eardrum may remain, and if this causes problems with recurrent infection, surgical repair may be required (however this is not normally done until around 8-10 years of age).</w:t>
            </w:r>
          </w:p>
        </w:tc>
      </w:tr>
      <w:tr w:rsidR="00962E57" w:rsidRPr="00133176" w14:paraId="72A471C5" w14:textId="77777777" w:rsidTr="00B86C38">
        <w:trPr>
          <w:trHeight w:val="275"/>
        </w:trPr>
        <w:tc>
          <w:tcPr>
            <w:tcW w:w="9923" w:type="dxa"/>
            <w:shd w:val="clear" w:color="auto" w:fill="16365D"/>
          </w:tcPr>
          <w:p w14:paraId="72A471C4" w14:textId="77777777" w:rsidR="00962E57" w:rsidRPr="00133176" w:rsidRDefault="00962E57" w:rsidP="00962E57">
            <w:pPr>
              <w:rPr>
                <w:rFonts w:ascii="Arial" w:hAnsi="Arial" w:cs="Arial"/>
              </w:rPr>
            </w:pPr>
            <w:r w:rsidRPr="00133176">
              <w:rPr>
                <w:rFonts w:ascii="Arial" w:hAnsi="Arial" w:cs="Arial"/>
              </w:rPr>
              <w:lastRenderedPageBreak/>
              <w:t>Rationale for recommendation</w:t>
            </w:r>
          </w:p>
        </w:tc>
      </w:tr>
      <w:tr w:rsidR="00962E57" w:rsidRPr="00133176" w14:paraId="72A471CA" w14:textId="77777777" w:rsidTr="00B86C38">
        <w:trPr>
          <w:trHeight w:val="1103"/>
        </w:trPr>
        <w:tc>
          <w:tcPr>
            <w:tcW w:w="9923" w:type="dxa"/>
          </w:tcPr>
          <w:p w14:paraId="72A471C6" w14:textId="77777777" w:rsidR="00133176" w:rsidRPr="00133176" w:rsidRDefault="00962E57" w:rsidP="00133176">
            <w:pPr>
              <w:rPr>
                <w:rFonts w:ascii="Arial" w:hAnsi="Arial" w:cs="Arial"/>
              </w:rPr>
            </w:pPr>
            <w:r w:rsidRPr="00133176">
              <w:rPr>
                <w:rFonts w:ascii="Arial" w:hAnsi="Arial" w:cs="Arial"/>
              </w:rPr>
              <w:t>In most cases glue ear will improve by itself without surgery. During a period of monitoring of the condition a balloon device (</w:t>
            </w:r>
            <w:proofErr w:type="gramStart"/>
            <w:r w:rsidRPr="00133176">
              <w:rPr>
                <w:rFonts w:ascii="Arial" w:hAnsi="Arial" w:cs="Arial"/>
              </w:rPr>
              <w:t>e.g.</w:t>
            </w:r>
            <w:proofErr w:type="gramEnd"/>
            <w:r w:rsidRPr="00133176">
              <w:rPr>
                <w:rFonts w:ascii="Arial" w:hAnsi="Arial" w:cs="Arial"/>
              </w:rPr>
              <w:t xml:space="preserve"> </w:t>
            </w:r>
            <w:proofErr w:type="spellStart"/>
            <w:r w:rsidRPr="00133176">
              <w:rPr>
                <w:rFonts w:ascii="Arial" w:hAnsi="Arial" w:cs="Arial"/>
              </w:rPr>
              <w:t>Otovent</w:t>
            </w:r>
            <w:proofErr w:type="spellEnd"/>
            <w:r w:rsidRPr="00133176">
              <w:rPr>
                <w:rFonts w:ascii="Arial" w:hAnsi="Arial" w:cs="Arial"/>
              </w:rPr>
              <w:t>) can be used by the child    if tolerated, this is designed to improve the function of the ventilation tube that connects the ear to the nose. In children with persistent glue ear, a hearing aid is</w:t>
            </w:r>
            <w:r w:rsidR="00133176" w:rsidRPr="00133176">
              <w:rPr>
                <w:rFonts w:ascii="Arial" w:hAnsi="Arial" w:cs="Arial"/>
              </w:rPr>
              <w:t xml:space="preserve"> another suitable alternative </w:t>
            </w:r>
            <w:proofErr w:type="gramStart"/>
            <w:r w:rsidR="00133176" w:rsidRPr="00133176">
              <w:rPr>
                <w:rFonts w:ascii="Arial" w:hAnsi="Arial" w:cs="Arial"/>
              </w:rPr>
              <w:t>to  surgery</w:t>
            </w:r>
            <w:proofErr w:type="gramEnd"/>
            <w:r w:rsidR="00133176" w:rsidRPr="00133176">
              <w:rPr>
                <w:rFonts w:ascii="Arial" w:hAnsi="Arial" w:cs="Arial"/>
              </w:rPr>
              <w:t xml:space="preserve">.  </w:t>
            </w:r>
            <w:proofErr w:type="gramStart"/>
            <w:r w:rsidR="00133176" w:rsidRPr="00133176">
              <w:rPr>
                <w:rFonts w:ascii="Arial" w:hAnsi="Arial" w:cs="Arial"/>
              </w:rPr>
              <w:t>Evidence  suggests</w:t>
            </w:r>
            <w:proofErr w:type="gramEnd"/>
            <w:r w:rsidR="00133176" w:rsidRPr="00133176">
              <w:rPr>
                <w:rFonts w:ascii="Arial" w:hAnsi="Arial" w:cs="Arial"/>
              </w:rPr>
              <w:t xml:space="preserve">  that  grommets only offer a short-term hearing improvement in children with no  other  serious  medical problems or disabilities.</w:t>
            </w:r>
          </w:p>
          <w:p w14:paraId="72A471C7" w14:textId="77777777" w:rsidR="00133176" w:rsidRPr="00133176" w:rsidRDefault="00133176" w:rsidP="00133176">
            <w:pPr>
              <w:rPr>
                <w:rFonts w:ascii="Arial" w:hAnsi="Arial" w:cs="Arial"/>
              </w:rPr>
            </w:pPr>
          </w:p>
          <w:p w14:paraId="72A471C8" w14:textId="77777777" w:rsidR="00133176" w:rsidRPr="00133176" w:rsidRDefault="00133176" w:rsidP="00133176">
            <w:pPr>
              <w:rPr>
                <w:rFonts w:ascii="Arial" w:hAnsi="Arial" w:cs="Arial"/>
              </w:rPr>
            </w:pPr>
            <w:r w:rsidRPr="00133176">
              <w:rPr>
                <w:rFonts w:ascii="Arial" w:hAnsi="Arial" w:cs="Arial"/>
              </w:rPr>
              <w:t>The NHS should only commission this surgery when the NICE criteria are met, as performing the surgery outside of these criteria is unlikely to derive any clinical benefit.</w:t>
            </w:r>
          </w:p>
          <w:p w14:paraId="72A471C9" w14:textId="77777777" w:rsidR="00962E57" w:rsidRPr="00133176" w:rsidRDefault="00962E57" w:rsidP="00962E57">
            <w:pPr>
              <w:rPr>
                <w:rFonts w:ascii="Arial" w:hAnsi="Arial" w:cs="Arial"/>
              </w:rPr>
            </w:pPr>
          </w:p>
        </w:tc>
      </w:tr>
      <w:tr w:rsidR="00133176" w:rsidRPr="00133176" w14:paraId="72A471CC" w14:textId="77777777" w:rsidTr="00B86C38">
        <w:trPr>
          <w:trHeight w:val="421"/>
        </w:trPr>
        <w:tc>
          <w:tcPr>
            <w:tcW w:w="9923" w:type="dxa"/>
            <w:shd w:val="clear" w:color="auto" w:fill="244061" w:themeFill="accent1" w:themeFillShade="80"/>
          </w:tcPr>
          <w:p w14:paraId="72A471CB" w14:textId="77777777" w:rsidR="00133176" w:rsidRPr="00133176" w:rsidRDefault="00133176" w:rsidP="00962E57">
            <w:pPr>
              <w:rPr>
                <w:rFonts w:ascii="Arial" w:hAnsi="Arial" w:cs="Arial"/>
              </w:rPr>
            </w:pPr>
            <w:r w:rsidRPr="00133176">
              <w:rPr>
                <w:rFonts w:ascii="Arial" w:hAnsi="Arial" w:cs="Arial"/>
              </w:rPr>
              <w:t>References</w:t>
            </w:r>
          </w:p>
        </w:tc>
      </w:tr>
      <w:tr w:rsidR="00133176" w:rsidRPr="00133176" w14:paraId="72A471CF" w14:textId="77777777" w:rsidTr="00B86C38">
        <w:trPr>
          <w:trHeight w:val="1103"/>
        </w:trPr>
        <w:tc>
          <w:tcPr>
            <w:tcW w:w="9923" w:type="dxa"/>
          </w:tcPr>
          <w:p w14:paraId="72A471CD" w14:textId="77777777" w:rsidR="00133176" w:rsidRPr="00133176" w:rsidRDefault="00133176" w:rsidP="00133176">
            <w:pPr>
              <w:rPr>
                <w:rFonts w:ascii="Arial" w:hAnsi="Arial" w:cs="Arial"/>
              </w:rPr>
            </w:pPr>
            <w:r w:rsidRPr="00133176">
              <w:rPr>
                <w:rFonts w:ascii="Arial" w:hAnsi="Arial" w:cs="Arial"/>
              </w:rPr>
              <w:t>NICE guidance: https://</w:t>
            </w:r>
            <w:hyperlink r:id="rId9">
              <w:r w:rsidRPr="00133176">
                <w:rPr>
                  <w:rStyle w:val="Hyperlink"/>
                  <w:rFonts w:ascii="Arial" w:hAnsi="Arial" w:cs="Arial"/>
                </w:rPr>
                <w:t>www.nice.org.uk/Guidance/CG60</w:t>
              </w:r>
            </w:hyperlink>
          </w:p>
          <w:p w14:paraId="72A471CE" w14:textId="77777777" w:rsidR="00133176" w:rsidRPr="00133176" w:rsidRDefault="00133176" w:rsidP="00133176">
            <w:pPr>
              <w:rPr>
                <w:rFonts w:ascii="Arial" w:hAnsi="Arial" w:cs="Arial"/>
              </w:rPr>
            </w:pPr>
            <w:r w:rsidRPr="00133176">
              <w:rPr>
                <w:rFonts w:ascii="Arial" w:hAnsi="Arial" w:cs="Arial"/>
              </w:rPr>
              <w:t xml:space="preserve">Browning, G; Rovers, M; Williamson, I; Lous, J; Burton, MJ. Grommets (ventilation tubes) for hearing loss associated with otitis media with </w:t>
            </w:r>
            <w:proofErr w:type="gramStart"/>
            <w:r w:rsidRPr="00133176">
              <w:rPr>
                <w:rFonts w:ascii="Arial" w:hAnsi="Arial" w:cs="Arial"/>
              </w:rPr>
              <w:t>effusion  in</w:t>
            </w:r>
            <w:proofErr w:type="gramEnd"/>
            <w:r w:rsidRPr="00133176">
              <w:rPr>
                <w:rFonts w:ascii="Arial" w:hAnsi="Arial" w:cs="Arial"/>
              </w:rPr>
              <w:t xml:space="preserve"> children. Cochrane Database of Systematic Reviews 2010, Issue 10. Art. No.: CD001801. DOI: 10.1002/14651858.CD001801.pub3</w:t>
            </w:r>
          </w:p>
        </w:tc>
      </w:tr>
    </w:tbl>
    <w:p w14:paraId="72A471D0" w14:textId="77777777" w:rsidR="0065099C" w:rsidRDefault="0065099C" w:rsidP="00133176">
      <w:pPr>
        <w:rPr>
          <w:rFonts w:ascii="Arial" w:hAnsi="Arial" w:cs="Arial"/>
        </w:rPr>
      </w:pPr>
    </w:p>
    <w:p w14:paraId="72A471D1" w14:textId="77777777" w:rsidR="00133176" w:rsidRDefault="00133176" w:rsidP="00133176">
      <w:pPr>
        <w:pBdr>
          <w:bottom w:val="single" w:sz="12" w:space="1" w:color="auto"/>
        </w:pBdr>
        <w:rPr>
          <w:rFonts w:ascii="Arial" w:hAnsi="Arial" w:cs="Arial"/>
        </w:rPr>
      </w:pPr>
    </w:p>
    <w:p w14:paraId="72A471D2" w14:textId="77777777" w:rsidR="00133176" w:rsidRDefault="00133176" w:rsidP="00133176">
      <w:pPr>
        <w:rPr>
          <w:rFonts w:ascii="Arial" w:hAnsi="Arial" w:cs="Arial"/>
        </w:rPr>
      </w:pPr>
    </w:p>
    <w:p w14:paraId="72A471D3" w14:textId="77777777" w:rsidR="00133176" w:rsidRDefault="00133176" w:rsidP="00133176">
      <w:pPr>
        <w:rPr>
          <w:rFonts w:ascii="Arial" w:hAnsi="Arial" w:cs="Arial"/>
        </w:rPr>
      </w:pPr>
    </w:p>
    <w:p w14:paraId="72A471D4" w14:textId="77777777" w:rsidR="00133176" w:rsidRPr="0002074D" w:rsidRDefault="00133176" w:rsidP="00133176">
      <w:pPr>
        <w:rPr>
          <w:rFonts w:ascii="Arial" w:hAnsi="Arial" w:cs="Arial"/>
          <w:i/>
          <w:sz w:val="24"/>
        </w:rPr>
      </w:pPr>
      <w:r w:rsidRPr="0002074D">
        <w:rPr>
          <w:rFonts w:ascii="Arial" w:hAnsi="Arial" w:cs="Arial"/>
          <w:i/>
          <w:sz w:val="24"/>
        </w:rPr>
        <w:t>Evidence-Based Interventions: Guidance for CCGs</w:t>
      </w:r>
    </w:p>
    <w:p w14:paraId="72A471D5" w14:textId="77777777" w:rsidR="00133176" w:rsidRPr="0002074D" w:rsidRDefault="00133176" w:rsidP="00133176">
      <w:pPr>
        <w:rPr>
          <w:rFonts w:ascii="Arial" w:hAnsi="Arial" w:cs="Arial"/>
          <w:i/>
          <w:sz w:val="20"/>
        </w:rPr>
      </w:pPr>
      <w:r w:rsidRPr="0002074D">
        <w:rPr>
          <w:rFonts w:ascii="Arial" w:hAnsi="Arial" w:cs="Arial"/>
          <w:i/>
          <w:sz w:val="20"/>
        </w:rPr>
        <w:t>Published by NHS England in partnership with NHS Clinical Commissioners, the Academy of Medical Royal Colleges, NHS Improvement and the National Institute for Health and Care Excellence</w:t>
      </w:r>
    </w:p>
    <w:p w14:paraId="72A471D6" w14:textId="77777777" w:rsidR="00133176" w:rsidRPr="0002074D" w:rsidRDefault="00133176" w:rsidP="00133176">
      <w:pPr>
        <w:rPr>
          <w:rFonts w:ascii="Arial" w:hAnsi="Arial" w:cs="Arial"/>
          <w:i/>
        </w:rPr>
      </w:pPr>
      <w:r w:rsidRPr="0002074D">
        <w:rPr>
          <w:rFonts w:ascii="Arial" w:hAnsi="Arial" w:cs="Arial"/>
          <w:i/>
        </w:rPr>
        <w:t>Version number: 1</w:t>
      </w:r>
    </w:p>
    <w:p w14:paraId="72A471D7" w14:textId="77777777" w:rsidR="00133176" w:rsidRPr="0002074D" w:rsidRDefault="00133176" w:rsidP="00133176">
      <w:pPr>
        <w:rPr>
          <w:rFonts w:ascii="Arial" w:hAnsi="Arial" w:cs="Arial"/>
          <w:i/>
        </w:rPr>
      </w:pPr>
      <w:r w:rsidRPr="0002074D">
        <w:rPr>
          <w:rFonts w:ascii="Arial" w:hAnsi="Arial" w:cs="Arial"/>
          <w:i/>
        </w:rPr>
        <w:t>First published: 28 November 2018</w:t>
      </w:r>
    </w:p>
    <w:p w14:paraId="72A471D8" w14:textId="77777777" w:rsidR="00133176" w:rsidRPr="0002074D" w:rsidRDefault="00133176" w:rsidP="00133176">
      <w:pPr>
        <w:rPr>
          <w:rFonts w:ascii="Arial" w:hAnsi="Arial" w:cs="Arial"/>
          <w:i/>
        </w:rPr>
      </w:pPr>
      <w:r w:rsidRPr="0002074D">
        <w:rPr>
          <w:rFonts w:ascii="Arial" w:hAnsi="Arial" w:cs="Arial"/>
          <w:i/>
        </w:rPr>
        <w:t>Prepared by: NHS England Medical directorate and Strategy and Innovation directorate</w:t>
      </w:r>
    </w:p>
    <w:p w14:paraId="72A471D9" w14:textId="77777777" w:rsidR="00133176" w:rsidRPr="0002074D" w:rsidRDefault="00133176" w:rsidP="00133176">
      <w:pPr>
        <w:rPr>
          <w:rFonts w:ascii="Arial" w:hAnsi="Arial" w:cs="Arial"/>
          <w:i/>
        </w:rPr>
      </w:pPr>
      <w:r w:rsidRPr="0002074D">
        <w:rPr>
          <w:rFonts w:ascii="Arial" w:hAnsi="Arial" w:cs="Arial"/>
          <w:i/>
        </w:rPr>
        <w:t>Classification: OFFICIAL</w:t>
      </w:r>
    </w:p>
    <w:p w14:paraId="72A471DA" w14:textId="77777777" w:rsidR="00133176" w:rsidRPr="0002074D" w:rsidRDefault="00133176" w:rsidP="00133176">
      <w:pPr>
        <w:rPr>
          <w:rFonts w:ascii="Arial" w:hAnsi="Arial" w:cs="Arial"/>
          <w:i/>
        </w:rPr>
      </w:pPr>
      <w:r w:rsidRPr="0002074D">
        <w:rPr>
          <w:rFonts w:ascii="Arial" w:hAnsi="Arial" w:cs="Arial"/>
          <w:i/>
        </w:rPr>
        <w:t>NHS England Publications Gateway Reference: 08659</w:t>
      </w:r>
    </w:p>
    <w:p w14:paraId="72A471DB" w14:textId="77777777" w:rsidR="00133176" w:rsidRPr="00133176" w:rsidRDefault="00133176" w:rsidP="00133176">
      <w:pPr>
        <w:rPr>
          <w:rFonts w:ascii="Arial" w:hAnsi="Arial" w:cs="Arial"/>
        </w:rPr>
      </w:pPr>
    </w:p>
    <w:sectPr w:rsidR="00133176" w:rsidRPr="00133176" w:rsidSect="00B86C38">
      <w:headerReference w:type="default" r:id="rId10"/>
      <w:pgSz w:w="12240" w:h="15840"/>
      <w:pgMar w:top="1440" w:right="118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FCD0" w14:textId="77777777" w:rsidR="00CA4FBF" w:rsidRDefault="00CA4FBF" w:rsidP="00133176">
      <w:r>
        <w:separator/>
      </w:r>
    </w:p>
  </w:endnote>
  <w:endnote w:type="continuationSeparator" w:id="0">
    <w:p w14:paraId="52263157" w14:textId="77777777" w:rsidR="00CA4FBF" w:rsidRDefault="00CA4FBF" w:rsidP="0013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CD4EE" w14:textId="77777777" w:rsidR="00CA4FBF" w:rsidRDefault="00CA4FBF" w:rsidP="00133176">
      <w:r>
        <w:separator/>
      </w:r>
    </w:p>
  </w:footnote>
  <w:footnote w:type="continuationSeparator" w:id="0">
    <w:p w14:paraId="178476DC" w14:textId="77777777" w:rsidR="00CA4FBF" w:rsidRDefault="00CA4FBF" w:rsidP="0013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71E0" w14:textId="77777777" w:rsidR="00133176" w:rsidRDefault="00133176">
    <w:pPr>
      <w:pStyle w:val="Header"/>
    </w:pPr>
    <w:r w:rsidRPr="00573022">
      <w:rPr>
        <w:noProof/>
        <w:lang w:val="en-GB" w:eastAsia="en-GB"/>
      </w:rPr>
      <w:drawing>
        <wp:inline distT="0" distB="0" distL="0" distR="0" wp14:anchorId="72A471E1" wp14:editId="72A471E2">
          <wp:extent cx="3992880" cy="766769"/>
          <wp:effectExtent l="0" t="0" r="7620" b="0"/>
          <wp:docPr id="4" name="Picture 6" descr="Frimley Health and Care logo Final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Frimley Health and Care logo Final RGB HIGH res.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994498"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10E2"/>
    <w:multiLevelType w:val="hybridMultilevel"/>
    <w:tmpl w:val="B1DCC9A8"/>
    <w:lvl w:ilvl="0" w:tplc="B898118A">
      <w:numFmt w:val="bullet"/>
      <w:lvlText w:val="□"/>
      <w:lvlJc w:val="left"/>
      <w:pPr>
        <w:ind w:left="875" w:hanging="361"/>
      </w:pPr>
      <w:rPr>
        <w:rFonts w:ascii="Times New Roman" w:eastAsia="Times New Roman" w:hAnsi="Times New Roman" w:cs="Times New Roman" w:hint="default"/>
        <w:w w:val="75"/>
        <w:sz w:val="24"/>
        <w:szCs w:val="24"/>
      </w:rPr>
    </w:lvl>
    <w:lvl w:ilvl="1" w:tplc="363E530E">
      <w:numFmt w:val="bullet"/>
      <w:lvlText w:val="•"/>
      <w:lvlJc w:val="left"/>
      <w:pPr>
        <w:ind w:left="1696" w:hanging="361"/>
      </w:pPr>
      <w:rPr>
        <w:rFonts w:hint="default"/>
      </w:rPr>
    </w:lvl>
    <w:lvl w:ilvl="2" w:tplc="9460C8B0">
      <w:numFmt w:val="bullet"/>
      <w:lvlText w:val="•"/>
      <w:lvlJc w:val="left"/>
      <w:pPr>
        <w:ind w:left="2513" w:hanging="361"/>
      </w:pPr>
      <w:rPr>
        <w:rFonts w:hint="default"/>
      </w:rPr>
    </w:lvl>
    <w:lvl w:ilvl="3" w:tplc="BFFC9780">
      <w:numFmt w:val="bullet"/>
      <w:lvlText w:val="•"/>
      <w:lvlJc w:val="left"/>
      <w:pPr>
        <w:ind w:left="3329" w:hanging="361"/>
      </w:pPr>
      <w:rPr>
        <w:rFonts w:hint="default"/>
      </w:rPr>
    </w:lvl>
    <w:lvl w:ilvl="4" w:tplc="A4004184">
      <w:numFmt w:val="bullet"/>
      <w:lvlText w:val="•"/>
      <w:lvlJc w:val="left"/>
      <w:pPr>
        <w:ind w:left="4146" w:hanging="361"/>
      </w:pPr>
      <w:rPr>
        <w:rFonts w:hint="default"/>
      </w:rPr>
    </w:lvl>
    <w:lvl w:ilvl="5" w:tplc="BA90A492">
      <w:numFmt w:val="bullet"/>
      <w:lvlText w:val="•"/>
      <w:lvlJc w:val="left"/>
      <w:pPr>
        <w:ind w:left="4962" w:hanging="361"/>
      </w:pPr>
      <w:rPr>
        <w:rFonts w:hint="default"/>
      </w:rPr>
    </w:lvl>
    <w:lvl w:ilvl="6" w:tplc="FBBA9B88">
      <w:numFmt w:val="bullet"/>
      <w:lvlText w:val="•"/>
      <w:lvlJc w:val="left"/>
      <w:pPr>
        <w:ind w:left="5779" w:hanging="361"/>
      </w:pPr>
      <w:rPr>
        <w:rFonts w:hint="default"/>
      </w:rPr>
    </w:lvl>
    <w:lvl w:ilvl="7" w:tplc="215C4CEC">
      <w:numFmt w:val="bullet"/>
      <w:lvlText w:val="•"/>
      <w:lvlJc w:val="left"/>
      <w:pPr>
        <w:ind w:left="6595" w:hanging="361"/>
      </w:pPr>
      <w:rPr>
        <w:rFonts w:hint="default"/>
      </w:rPr>
    </w:lvl>
    <w:lvl w:ilvl="8" w:tplc="4D1A56A6">
      <w:numFmt w:val="bullet"/>
      <w:lvlText w:val="•"/>
      <w:lvlJc w:val="left"/>
      <w:pPr>
        <w:ind w:left="7412" w:hanging="361"/>
      </w:pPr>
      <w:rPr>
        <w:rFonts w:hint="default"/>
      </w:rPr>
    </w:lvl>
  </w:abstractNum>
  <w:abstractNum w:abstractNumId="1" w15:restartNumberingAfterBreak="0">
    <w:nsid w:val="48C91A49"/>
    <w:multiLevelType w:val="hybridMultilevel"/>
    <w:tmpl w:val="0F92D54A"/>
    <w:lvl w:ilvl="0" w:tplc="09A0A184">
      <w:numFmt w:val="bullet"/>
      <w:lvlText w:val="□"/>
      <w:lvlJc w:val="left"/>
      <w:pPr>
        <w:ind w:left="107" w:hanging="361"/>
      </w:pPr>
      <w:rPr>
        <w:rFonts w:ascii="Times New Roman" w:eastAsia="Times New Roman" w:hAnsi="Times New Roman" w:cs="Times New Roman" w:hint="default"/>
        <w:w w:val="75"/>
        <w:sz w:val="24"/>
        <w:szCs w:val="24"/>
      </w:rPr>
    </w:lvl>
    <w:lvl w:ilvl="1" w:tplc="D674A40E">
      <w:numFmt w:val="bullet"/>
      <w:lvlText w:val="•"/>
      <w:lvlJc w:val="left"/>
      <w:pPr>
        <w:ind w:left="994" w:hanging="361"/>
      </w:pPr>
      <w:rPr>
        <w:rFonts w:hint="default"/>
      </w:rPr>
    </w:lvl>
    <w:lvl w:ilvl="2" w:tplc="185E2142">
      <w:numFmt w:val="bullet"/>
      <w:lvlText w:val="•"/>
      <w:lvlJc w:val="left"/>
      <w:pPr>
        <w:ind w:left="1889" w:hanging="361"/>
      </w:pPr>
      <w:rPr>
        <w:rFonts w:hint="default"/>
      </w:rPr>
    </w:lvl>
    <w:lvl w:ilvl="3" w:tplc="6C3EF26E">
      <w:numFmt w:val="bullet"/>
      <w:lvlText w:val="•"/>
      <w:lvlJc w:val="left"/>
      <w:pPr>
        <w:ind w:left="2783" w:hanging="361"/>
      </w:pPr>
      <w:rPr>
        <w:rFonts w:hint="default"/>
      </w:rPr>
    </w:lvl>
    <w:lvl w:ilvl="4" w:tplc="EEB89AE6">
      <w:numFmt w:val="bullet"/>
      <w:lvlText w:val="•"/>
      <w:lvlJc w:val="left"/>
      <w:pPr>
        <w:ind w:left="3678" w:hanging="361"/>
      </w:pPr>
      <w:rPr>
        <w:rFonts w:hint="default"/>
      </w:rPr>
    </w:lvl>
    <w:lvl w:ilvl="5" w:tplc="ED72F624">
      <w:numFmt w:val="bullet"/>
      <w:lvlText w:val="•"/>
      <w:lvlJc w:val="left"/>
      <w:pPr>
        <w:ind w:left="4572" w:hanging="361"/>
      </w:pPr>
      <w:rPr>
        <w:rFonts w:hint="default"/>
      </w:rPr>
    </w:lvl>
    <w:lvl w:ilvl="6" w:tplc="4DAEA4E0">
      <w:numFmt w:val="bullet"/>
      <w:lvlText w:val="•"/>
      <w:lvlJc w:val="left"/>
      <w:pPr>
        <w:ind w:left="5467" w:hanging="361"/>
      </w:pPr>
      <w:rPr>
        <w:rFonts w:hint="default"/>
      </w:rPr>
    </w:lvl>
    <w:lvl w:ilvl="7" w:tplc="AA88B3D6">
      <w:numFmt w:val="bullet"/>
      <w:lvlText w:val="•"/>
      <w:lvlJc w:val="left"/>
      <w:pPr>
        <w:ind w:left="6361" w:hanging="361"/>
      </w:pPr>
      <w:rPr>
        <w:rFonts w:hint="default"/>
      </w:rPr>
    </w:lvl>
    <w:lvl w:ilvl="8" w:tplc="B71C5AE8">
      <w:numFmt w:val="bullet"/>
      <w:lvlText w:val="•"/>
      <w:lvlJc w:val="left"/>
      <w:pPr>
        <w:ind w:left="7256" w:hanging="361"/>
      </w:pPr>
      <w:rPr>
        <w:rFonts w:hint="default"/>
      </w:rPr>
    </w:lvl>
  </w:abstractNum>
  <w:abstractNum w:abstractNumId="2" w15:restartNumberingAfterBreak="0">
    <w:nsid w:val="693A31B8"/>
    <w:multiLevelType w:val="hybridMultilevel"/>
    <w:tmpl w:val="4AF401EC"/>
    <w:lvl w:ilvl="0" w:tplc="100AB976">
      <w:start w:val="1"/>
      <w:numFmt w:val="upperLetter"/>
      <w:lvlText w:val="%1."/>
      <w:lvlJc w:val="left"/>
      <w:pPr>
        <w:ind w:left="218" w:hanging="310"/>
        <w:jc w:val="left"/>
      </w:pPr>
      <w:rPr>
        <w:rFonts w:ascii="Times New Roman" w:eastAsia="Times New Roman" w:hAnsi="Times New Roman" w:cs="Times New Roman" w:hint="default"/>
        <w:spacing w:val="-6"/>
        <w:w w:val="99"/>
        <w:sz w:val="24"/>
        <w:szCs w:val="24"/>
      </w:rPr>
    </w:lvl>
    <w:lvl w:ilvl="1" w:tplc="891ECDCC">
      <w:numFmt w:val="bullet"/>
      <w:lvlText w:val="•"/>
      <w:lvlJc w:val="left"/>
      <w:pPr>
        <w:ind w:left="1138" w:hanging="310"/>
      </w:pPr>
      <w:rPr>
        <w:rFonts w:hint="default"/>
      </w:rPr>
    </w:lvl>
    <w:lvl w:ilvl="2" w:tplc="C212A108">
      <w:numFmt w:val="bullet"/>
      <w:lvlText w:val="•"/>
      <w:lvlJc w:val="left"/>
      <w:pPr>
        <w:ind w:left="2057" w:hanging="310"/>
      </w:pPr>
      <w:rPr>
        <w:rFonts w:hint="default"/>
      </w:rPr>
    </w:lvl>
    <w:lvl w:ilvl="3" w:tplc="2A7A1890">
      <w:numFmt w:val="bullet"/>
      <w:lvlText w:val="•"/>
      <w:lvlJc w:val="left"/>
      <w:pPr>
        <w:ind w:left="2975" w:hanging="310"/>
      </w:pPr>
      <w:rPr>
        <w:rFonts w:hint="default"/>
      </w:rPr>
    </w:lvl>
    <w:lvl w:ilvl="4" w:tplc="CFAC6E8C">
      <w:numFmt w:val="bullet"/>
      <w:lvlText w:val="•"/>
      <w:lvlJc w:val="left"/>
      <w:pPr>
        <w:ind w:left="3894" w:hanging="310"/>
      </w:pPr>
      <w:rPr>
        <w:rFonts w:hint="default"/>
      </w:rPr>
    </w:lvl>
    <w:lvl w:ilvl="5" w:tplc="535C8206">
      <w:numFmt w:val="bullet"/>
      <w:lvlText w:val="•"/>
      <w:lvlJc w:val="left"/>
      <w:pPr>
        <w:ind w:left="4813" w:hanging="310"/>
      </w:pPr>
      <w:rPr>
        <w:rFonts w:hint="default"/>
      </w:rPr>
    </w:lvl>
    <w:lvl w:ilvl="6" w:tplc="B41C0758">
      <w:numFmt w:val="bullet"/>
      <w:lvlText w:val="•"/>
      <w:lvlJc w:val="left"/>
      <w:pPr>
        <w:ind w:left="5731" w:hanging="310"/>
      </w:pPr>
      <w:rPr>
        <w:rFonts w:hint="default"/>
      </w:rPr>
    </w:lvl>
    <w:lvl w:ilvl="7" w:tplc="0A68A112">
      <w:numFmt w:val="bullet"/>
      <w:lvlText w:val="•"/>
      <w:lvlJc w:val="left"/>
      <w:pPr>
        <w:ind w:left="6650" w:hanging="310"/>
      </w:pPr>
      <w:rPr>
        <w:rFonts w:hint="default"/>
      </w:rPr>
    </w:lvl>
    <w:lvl w:ilvl="8" w:tplc="B6D6E77C">
      <w:numFmt w:val="bullet"/>
      <w:lvlText w:val="•"/>
      <w:lvlJc w:val="left"/>
      <w:pPr>
        <w:ind w:left="7569" w:hanging="310"/>
      </w:pPr>
      <w:rPr>
        <w:rFonts w:hint="default"/>
      </w:rPr>
    </w:lvl>
  </w:abstractNum>
  <w:abstractNum w:abstractNumId="3" w15:restartNumberingAfterBreak="0">
    <w:nsid w:val="69F9361C"/>
    <w:multiLevelType w:val="hybridMultilevel"/>
    <w:tmpl w:val="2B748576"/>
    <w:lvl w:ilvl="0" w:tplc="699C1E6E">
      <w:start w:val="1"/>
      <w:numFmt w:val="decimal"/>
      <w:lvlText w:val="%1."/>
      <w:lvlJc w:val="left"/>
      <w:pPr>
        <w:ind w:left="827" w:hanging="360"/>
        <w:jc w:val="left"/>
      </w:pPr>
      <w:rPr>
        <w:rFonts w:ascii="Times New Roman" w:eastAsia="Times New Roman" w:hAnsi="Times New Roman" w:cs="Times New Roman" w:hint="default"/>
        <w:w w:val="110"/>
        <w:sz w:val="24"/>
        <w:szCs w:val="24"/>
      </w:rPr>
    </w:lvl>
    <w:lvl w:ilvl="1" w:tplc="CCF4206E">
      <w:numFmt w:val="bullet"/>
      <w:lvlText w:val="•"/>
      <w:lvlJc w:val="left"/>
      <w:pPr>
        <w:ind w:left="1642" w:hanging="360"/>
      </w:pPr>
      <w:rPr>
        <w:rFonts w:hint="default"/>
      </w:rPr>
    </w:lvl>
    <w:lvl w:ilvl="2" w:tplc="A75ABC8C">
      <w:numFmt w:val="bullet"/>
      <w:lvlText w:val="•"/>
      <w:lvlJc w:val="left"/>
      <w:pPr>
        <w:ind w:left="2465" w:hanging="360"/>
      </w:pPr>
      <w:rPr>
        <w:rFonts w:hint="default"/>
      </w:rPr>
    </w:lvl>
    <w:lvl w:ilvl="3" w:tplc="E98C266E">
      <w:numFmt w:val="bullet"/>
      <w:lvlText w:val="•"/>
      <w:lvlJc w:val="left"/>
      <w:pPr>
        <w:ind w:left="3287" w:hanging="360"/>
      </w:pPr>
      <w:rPr>
        <w:rFonts w:hint="default"/>
      </w:rPr>
    </w:lvl>
    <w:lvl w:ilvl="4" w:tplc="ABB01EE8">
      <w:numFmt w:val="bullet"/>
      <w:lvlText w:val="•"/>
      <w:lvlJc w:val="left"/>
      <w:pPr>
        <w:ind w:left="4110" w:hanging="360"/>
      </w:pPr>
      <w:rPr>
        <w:rFonts w:hint="default"/>
      </w:rPr>
    </w:lvl>
    <w:lvl w:ilvl="5" w:tplc="F55A3E28">
      <w:numFmt w:val="bullet"/>
      <w:lvlText w:val="•"/>
      <w:lvlJc w:val="left"/>
      <w:pPr>
        <w:ind w:left="4932" w:hanging="360"/>
      </w:pPr>
      <w:rPr>
        <w:rFonts w:hint="default"/>
      </w:rPr>
    </w:lvl>
    <w:lvl w:ilvl="6" w:tplc="EEB660A0">
      <w:numFmt w:val="bullet"/>
      <w:lvlText w:val="•"/>
      <w:lvlJc w:val="left"/>
      <w:pPr>
        <w:ind w:left="5755" w:hanging="360"/>
      </w:pPr>
      <w:rPr>
        <w:rFonts w:hint="default"/>
      </w:rPr>
    </w:lvl>
    <w:lvl w:ilvl="7" w:tplc="6804E416">
      <w:numFmt w:val="bullet"/>
      <w:lvlText w:val="•"/>
      <w:lvlJc w:val="left"/>
      <w:pPr>
        <w:ind w:left="6577" w:hanging="360"/>
      </w:pPr>
      <w:rPr>
        <w:rFonts w:hint="default"/>
      </w:rPr>
    </w:lvl>
    <w:lvl w:ilvl="8" w:tplc="E6747DB6">
      <w:numFmt w:val="bullet"/>
      <w:lvlText w:val="•"/>
      <w:lvlJc w:val="left"/>
      <w:pPr>
        <w:ind w:left="7400" w:hanging="360"/>
      </w:pPr>
      <w:rPr>
        <w:rFonts w:hint="default"/>
      </w:rPr>
    </w:lvl>
  </w:abstractNum>
  <w:num w:numId="1" w16cid:durableId="2039156226">
    <w:abstractNumId w:val="3"/>
  </w:num>
  <w:num w:numId="2" w16cid:durableId="932082276">
    <w:abstractNumId w:val="0"/>
  </w:num>
  <w:num w:numId="3" w16cid:durableId="298997525">
    <w:abstractNumId w:val="1"/>
  </w:num>
  <w:num w:numId="4" w16cid:durableId="1843811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E57"/>
    <w:rsid w:val="00133176"/>
    <w:rsid w:val="0065099C"/>
    <w:rsid w:val="00962E57"/>
    <w:rsid w:val="00A71DB2"/>
    <w:rsid w:val="00B86C38"/>
    <w:rsid w:val="00C8182A"/>
    <w:rsid w:val="00CA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47197"/>
  <w15:docId w15:val="{54A6EDEC-CB20-40B5-9A84-A836D20A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62E57"/>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62E57"/>
    <w:rPr>
      <w:sz w:val="24"/>
      <w:szCs w:val="24"/>
    </w:rPr>
  </w:style>
  <w:style w:type="character" w:customStyle="1" w:styleId="BodyTextChar">
    <w:name w:val="Body Text Char"/>
    <w:basedOn w:val="DefaultParagraphFont"/>
    <w:link w:val="BodyText"/>
    <w:uiPriority w:val="1"/>
    <w:rsid w:val="00962E57"/>
    <w:rPr>
      <w:sz w:val="24"/>
      <w:szCs w:val="24"/>
      <w:lang w:val="en-US" w:eastAsia="en-US"/>
    </w:rPr>
  </w:style>
  <w:style w:type="paragraph" w:styleId="ListParagraph">
    <w:name w:val="List Paragraph"/>
    <w:basedOn w:val="Normal"/>
    <w:uiPriority w:val="1"/>
    <w:qFormat/>
    <w:rsid w:val="00962E57"/>
    <w:pPr>
      <w:ind w:left="645" w:hanging="360"/>
    </w:pPr>
  </w:style>
  <w:style w:type="paragraph" w:customStyle="1" w:styleId="TableParagraph">
    <w:name w:val="Table Paragraph"/>
    <w:basedOn w:val="Normal"/>
    <w:uiPriority w:val="1"/>
    <w:qFormat/>
    <w:rsid w:val="00962E57"/>
  </w:style>
  <w:style w:type="character" w:styleId="Hyperlink">
    <w:name w:val="Hyperlink"/>
    <w:basedOn w:val="DefaultParagraphFont"/>
    <w:rsid w:val="00962E57"/>
    <w:rPr>
      <w:color w:val="0000FF" w:themeColor="hyperlink"/>
      <w:u w:val="single"/>
    </w:rPr>
  </w:style>
  <w:style w:type="paragraph" w:styleId="Header">
    <w:name w:val="header"/>
    <w:basedOn w:val="Normal"/>
    <w:link w:val="HeaderChar"/>
    <w:uiPriority w:val="99"/>
    <w:rsid w:val="00133176"/>
    <w:pPr>
      <w:tabs>
        <w:tab w:val="center" w:pos="4513"/>
        <w:tab w:val="right" w:pos="9026"/>
      </w:tabs>
    </w:pPr>
  </w:style>
  <w:style w:type="character" w:customStyle="1" w:styleId="HeaderChar">
    <w:name w:val="Header Char"/>
    <w:basedOn w:val="DefaultParagraphFont"/>
    <w:link w:val="Header"/>
    <w:uiPriority w:val="99"/>
    <w:rsid w:val="00133176"/>
    <w:rPr>
      <w:sz w:val="22"/>
      <w:szCs w:val="22"/>
      <w:lang w:val="en-US" w:eastAsia="en-US"/>
    </w:rPr>
  </w:style>
  <w:style w:type="paragraph" w:styleId="Footer">
    <w:name w:val="footer"/>
    <w:basedOn w:val="Normal"/>
    <w:link w:val="FooterChar"/>
    <w:rsid w:val="00133176"/>
    <w:pPr>
      <w:tabs>
        <w:tab w:val="center" w:pos="4513"/>
        <w:tab w:val="right" w:pos="9026"/>
      </w:tabs>
    </w:pPr>
  </w:style>
  <w:style w:type="character" w:customStyle="1" w:styleId="FooterChar">
    <w:name w:val="Footer Char"/>
    <w:basedOn w:val="DefaultParagraphFont"/>
    <w:link w:val="Footer"/>
    <w:rsid w:val="00133176"/>
    <w:rPr>
      <w:sz w:val="22"/>
      <w:szCs w:val="22"/>
      <w:lang w:val="en-US" w:eastAsia="en-US"/>
    </w:rPr>
  </w:style>
  <w:style w:type="paragraph" w:styleId="BalloonText">
    <w:name w:val="Balloon Text"/>
    <w:basedOn w:val="Normal"/>
    <w:link w:val="BalloonTextChar"/>
    <w:rsid w:val="00133176"/>
    <w:rPr>
      <w:rFonts w:ascii="Tahoma" w:hAnsi="Tahoma" w:cs="Tahoma"/>
      <w:sz w:val="16"/>
      <w:szCs w:val="16"/>
    </w:rPr>
  </w:style>
  <w:style w:type="character" w:customStyle="1" w:styleId="BalloonTextChar">
    <w:name w:val="Balloon Text Char"/>
    <w:basedOn w:val="DefaultParagraphFont"/>
    <w:link w:val="BalloonText"/>
    <w:rsid w:val="0013317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CG60" TargetMode="External"/><Relationship Id="rId3" Type="http://schemas.openxmlformats.org/officeDocument/2006/relationships/settings" Target="settings.xml"/><Relationship Id="rId7" Type="http://schemas.openxmlformats.org/officeDocument/2006/relationships/hyperlink" Target="https://www.aomrc.org.uk/ebi/wp-content/uploads/2021/05/ebi-statutory-guid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ce.org.uk/Guidance/CG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Hall - Senior Contracts Manager</dc:creator>
  <cp:lastModifiedBy>HALL, Karen (FRIMLEY HEALTH NHS FOUNDATION TRUST)</cp:lastModifiedBy>
  <cp:revision>2</cp:revision>
  <dcterms:created xsi:type="dcterms:W3CDTF">2023-02-22T13:39:00Z</dcterms:created>
  <dcterms:modified xsi:type="dcterms:W3CDTF">2023-02-22T13:39:00Z</dcterms:modified>
</cp:coreProperties>
</file>