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14399" w14:textId="77777777" w:rsidR="00E31F27" w:rsidRDefault="00E31F27" w:rsidP="00E31F27">
      <w:pPr>
        <w:rPr>
          <w:rFonts w:ascii="Arial" w:hAnsi="Arial" w:cs="Arial"/>
        </w:rPr>
      </w:pPr>
    </w:p>
    <w:p w14:paraId="0DBB0DF1" w14:textId="77777777" w:rsidR="00E31F27" w:rsidRDefault="00E31F27" w:rsidP="00E31F27">
      <w:pPr>
        <w:rPr>
          <w:rFonts w:ascii="Arial" w:hAnsi="Arial" w:cs="Arial"/>
        </w:rPr>
      </w:pPr>
    </w:p>
    <w:p w14:paraId="4D462BB9" w14:textId="0A408854" w:rsidR="00E31F27" w:rsidRDefault="00E31F27" w:rsidP="00121598">
      <w:pPr>
        <w:rPr>
          <w:rFonts w:ascii="Arial" w:hAnsi="Arial" w:cs="Arial"/>
          <w:sz w:val="24"/>
        </w:rPr>
      </w:pPr>
      <w:r w:rsidRPr="0002074D">
        <w:rPr>
          <w:rFonts w:ascii="Arial" w:hAnsi="Arial" w:cs="Arial"/>
          <w:i/>
          <w:sz w:val="20"/>
        </w:rPr>
        <w:t xml:space="preserve">Extract from the </w:t>
      </w:r>
      <w:r>
        <w:rPr>
          <w:rFonts w:ascii="Arial" w:hAnsi="Arial" w:cs="Arial"/>
          <w:i/>
          <w:sz w:val="20"/>
        </w:rPr>
        <w:t>below</w:t>
      </w:r>
      <w:r w:rsidRPr="0002074D">
        <w:rPr>
          <w:rFonts w:ascii="Arial" w:hAnsi="Arial" w:cs="Arial"/>
          <w:i/>
          <w:sz w:val="20"/>
        </w:rPr>
        <w:t xml:space="preserve"> named document for ICS Implementation purposes</w:t>
      </w:r>
      <w:r>
        <w:rPr>
          <w:rFonts w:ascii="Arial" w:hAnsi="Arial" w:cs="Arial"/>
          <w:i/>
          <w:sz w:val="20"/>
        </w:rPr>
        <w:t xml:space="preserve">;  </w:t>
      </w:r>
      <w:hyperlink r:id="rId7" w:history="1">
        <w:r w:rsidR="00121598">
          <w:rPr>
            <w:rStyle w:val="Hyperlink"/>
          </w:rPr>
          <w:t>Microsoft Word - EBI consultation response statutory guidance 11 Jan 2019 FINAL v2.0 CLEAN + cover sheet.docx (aomrc.org.uk)</w:t>
        </w:r>
      </w:hyperlink>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t>________________________________________________________________</w:t>
      </w:r>
    </w:p>
    <w:p w14:paraId="1808471B" w14:textId="77777777" w:rsidR="00E31F27" w:rsidRPr="00E31F27" w:rsidRDefault="00E31F27" w:rsidP="00E31F27">
      <w:pPr>
        <w:rPr>
          <w:rFonts w:ascii="Arial" w:hAnsi="Arial" w:cs="Arial"/>
          <w:sz w:val="24"/>
        </w:rPr>
      </w:pPr>
    </w:p>
    <w:p w14:paraId="109C83B2" w14:textId="77777777" w:rsidR="00844548" w:rsidRPr="00E31F27" w:rsidRDefault="00844548" w:rsidP="00E31F27">
      <w:pPr>
        <w:rPr>
          <w:rFonts w:ascii="Arial" w:hAnsi="Arial" w:cs="Arial"/>
          <w:sz w:val="24"/>
        </w:rPr>
      </w:pPr>
      <w:r w:rsidRPr="00E31F27">
        <w:rPr>
          <w:rFonts w:ascii="Arial" w:hAnsi="Arial" w:cs="Arial"/>
          <w:sz w:val="24"/>
        </w:rPr>
        <w:t xml:space="preserve">Removal of benign skin lesions </w:t>
      </w:r>
    </w:p>
    <w:p w14:paraId="5F74EF92" w14:textId="77777777" w:rsidR="00844548" w:rsidRPr="00E31F27" w:rsidRDefault="00844548" w:rsidP="00E31F27">
      <w:pPr>
        <w:rPr>
          <w:rFonts w:ascii="Arial" w:hAnsi="Arial" w:cs="Arial"/>
          <w:sz w:val="24"/>
        </w:rPr>
      </w:pPr>
    </w:p>
    <w:p w14:paraId="24179ED0" w14:textId="77777777" w:rsidR="00844548" w:rsidRPr="00E31F27" w:rsidRDefault="00844548" w:rsidP="00E31F27">
      <w:pPr>
        <w:rPr>
          <w:rFonts w:ascii="Arial" w:hAnsi="Arial" w:cs="Arial"/>
          <w:sz w:val="24"/>
        </w:rPr>
      </w:pPr>
      <w:r w:rsidRPr="00E31F27">
        <w:rPr>
          <w:rFonts w:ascii="Arial" w:hAnsi="Arial" w:cs="Arial"/>
          <w:sz w:val="24"/>
        </w:rPr>
        <w:t>Updated description of the intervention</w:t>
      </w:r>
    </w:p>
    <w:p w14:paraId="3934652F" w14:textId="77777777" w:rsidR="00844548" w:rsidRPr="00E31F27" w:rsidRDefault="00844548" w:rsidP="00E31F27">
      <w:pPr>
        <w:rPr>
          <w:rFonts w:ascii="Arial" w:hAnsi="Arial" w:cs="Arial"/>
        </w:rPr>
      </w:pPr>
    </w:p>
    <w:p w14:paraId="2A1A8AD3" w14:textId="77777777" w:rsidR="00844548" w:rsidRPr="00E31F27" w:rsidRDefault="00844548" w:rsidP="00E31F27">
      <w:pPr>
        <w:rPr>
          <w:rFonts w:ascii="Arial" w:hAnsi="Arial" w:cs="Arial"/>
        </w:rPr>
      </w:pPr>
      <w:r w:rsidRPr="00E31F27">
        <w:rPr>
          <w:rFonts w:ascii="Arial" w:hAnsi="Arial" w:cs="Arial"/>
        </w:rPr>
        <w:t>Removal of benign skin lesions cannot be offered for cosmetic reasons. It should only be offered in situations where the lesion is causing symptoms according to the criteria outlined below. Risks from the procedure can include bleeding, pain, infection, and scarring.</w:t>
      </w:r>
    </w:p>
    <w:p w14:paraId="574C96D2" w14:textId="77777777" w:rsidR="00844548" w:rsidRPr="00E31F27" w:rsidRDefault="00844548" w:rsidP="00E31F27">
      <w:pPr>
        <w:rPr>
          <w:rFonts w:ascii="Arial" w:hAnsi="Arial" w:cs="Arial"/>
        </w:rPr>
      </w:pPr>
    </w:p>
    <w:p w14:paraId="3042CBC9" w14:textId="77777777" w:rsidR="00844548" w:rsidRPr="00E31F27" w:rsidRDefault="00844548" w:rsidP="00E31F27">
      <w:pPr>
        <w:rPr>
          <w:rFonts w:ascii="Arial" w:hAnsi="Arial" w:cs="Arial"/>
        </w:rPr>
      </w:pPr>
      <w:r w:rsidRPr="00E31F27">
        <w:rPr>
          <w:rFonts w:ascii="Arial" w:hAnsi="Arial" w:cs="Arial"/>
        </w:rPr>
        <w:t>Updated clinical criteria</w:t>
      </w:r>
    </w:p>
    <w:p w14:paraId="0D909B2A" w14:textId="77777777" w:rsidR="00844548" w:rsidRPr="00E31F27" w:rsidRDefault="00844548" w:rsidP="00E31F27">
      <w:pPr>
        <w:rPr>
          <w:rFonts w:ascii="Arial" w:hAnsi="Arial" w:cs="Arial"/>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844548" w:rsidRPr="00E31F27" w14:paraId="51FDE87C" w14:textId="77777777" w:rsidTr="00E31F27">
        <w:trPr>
          <w:trHeight w:val="275"/>
        </w:trPr>
        <w:tc>
          <w:tcPr>
            <w:tcW w:w="9639" w:type="dxa"/>
            <w:shd w:val="clear" w:color="auto" w:fill="16365D"/>
          </w:tcPr>
          <w:p w14:paraId="7F9D561F" w14:textId="77777777" w:rsidR="00844548" w:rsidRPr="00E31F27" w:rsidRDefault="00844548" w:rsidP="00E31F27">
            <w:pPr>
              <w:rPr>
                <w:rFonts w:ascii="Arial" w:hAnsi="Arial" w:cs="Arial"/>
              </w:rPr>
            </w:pPr>
            <w:r w:rsidRPr="00E31F27">
              <w:rPr>
                <w:rFonts w:ascii="Arial" w:hAnsi="Arial" w:cs="Arial"/>
              </w:rPr>
              <w:t>Summary of intervention</w:t>
            </w:r>
          </w:p>
        </w:tc>
      </w:tr>
      <w:tr w:rsidR="00844548" w:rsidRPr="00E31F27" w14:paraId="1272764B" w14:textId="77777777" w:rsidTr="00E31F27">
        <w:trPr>
          <w:trHeight w:val="1655"/>
        </w:trPr>
        <w:tc>
          <w:tcPr>
            <w:tcW w:w="9639" w:type="dxa"/>
          </w:tcPr>
          <w:p w14:paraId="14CCB564" w14:textId="77777777" w:rsidR="00844548" w:rsidRDefault="00844548" w:rsidP="00E31F27">
            <w:pPr>
              <w:rPr>
                <w:rFonts w:ascii="Arial" w:hAnsi="Arial" w:cs="Arial"/>
              </w:rPr>
            </w:pPr>
            <w:r w:rsidRPr="00E31F27">
              <w:rPr>
                <w:rFonts w:ascii="Arial" w:hAnsi="Arial" w:cs="Arial"/>
              </w:rPr>
              <w:t>Removal of benign skin lesions means treating asymptomatic lumps, bumps or tags on the skin that are not suspicious of cancer. Treatment carries a small risk of infection, bleeding or scarring and is not usually offered by the NHS if it is just to improve appearance. In certain cases, treatment (surgical excision or cryotherapy) may be offered if certain criteria are met. A patient with a skin or subcutaneous lesion that has features suspicious of malignancy must be treated or referred</w:t>
            </w:r>
            <w:r w:rsidR="00E31F27" w:rsidRPr="00E31F27">
              <w:rPr>
                <w:rFonts w:ascii="Arial" w:hAnsi="Arial" w:cs="Arial"/>
              </w:rPr>
              <w:t xml:space="preserve"> according to NICE skin cancer guidelines. This policy does not refer to pre- malignant lesions and other lesions with potential to cause harm.</w:t>
            </w:r>
          </w:p>
          <w:p w14:paraId="0C5776BA" w14:textId="77777777" w:rsidR="00E31F27" w:rsidRPr="00E31F27" w:rsidRDefault="00E31F27" w:rsidP="00E31F27">
            <w:pPr>
              <w:rPr>
                <w:rFonts w:ascii="Arial" w:hAnsi="Arial" w:cs="Arial"/>
              </w:rPr>
            </w:pPr>
          </w:p>
        </w:tc>
      </w:tr>
      <w:tr w:rsidR="00844548" w:rsidRPr="00E31F27" w14:paraId="0A5A1FA5" w14:textId="77777777" w:rsidTr="00E31F27">
        <w:trPr>
          <w:trHeight w:val="292"/>
        </w:trPr>
        <w:tc>
          <w:tcPr>
            <w:tcW w:w="9639" w:type="dxa"/>
            <w:shd w:val="clear" w:color="auto" w:fill="244061" w:themeFill="accent1" w:themeFillShade="80"/>
          </w:tcPr>
          <w:p w14:paraId="4C30E1FA" w14:textId="77777777" w:rsidR="00844548" w:rsidRPr="00E31F27" w:rsidRDefault="00E31F27" w:rsidP="00E31F27">
            <w:pPr>
              <w:rPr>
                <w:rFonts w:ascii="Arial" w:hAnsi="Arial" w:cs="Arial"/>
              </w:rPr>
            </w:pPr>
            <w:r w:rsidRPr="00E31F27">
              <w:rPr>
                <w:rFonts w:ascii="Arial" w:hAnsi="Arial" w:cs="Arial"/>
              </w:rPr>
              <w:t>Number of CCG interventions in 2017/18</w:t>
            </w:r>
          </w:p>
        </w:tc>
      </w:tr>
      <w:tr w:rsidR="00844548" w:rsidRPr="00E31F27" w14:paraId="52B95153" w14:textId="77777777" w:rsidTr="00E31F27">
        <w:trPr>
          <w:trHeight w:val="275"/>
        </w:trPr>
        <w:tc>
          <w:tcPr>
            <w:tcW w:w="9639" w:type="dxa"/>
            <w:shd w:val="clear" w:color="auto" w:fill="FFFFFF" w:themeFill="background1"/>
          </w:tcPr>
          <w:p w14:paraId="3E7CBF07" w14:textId="77777777" w:rsidR="00844548" w:rsidRPr="00E31F27" w:rsidRDefault="00E31F27" w:rsidP="00E31F27">
            <w:pPr>
              <w:rPr>
                <w:rFonts w:ascii="Arial" w:hAnsi="Arial" w:cs="Arial"/>
              </w:rPr>
            </w:pPr>
            <w:r w:rsidRPr="00E31F27">
              <w:rPr>
                <w:rFonts w:ascii="Arial" w:hAnsi="Arial" w:cs="Arial"/>
              </w:rPr>
              <w:t>116,255</w:t>
            </w:r>
          </w:p>
        </w:tc>
      </w:tr>
      <w:tr w:rsidR="00844548" w:rsidRPr="00E31F27" w14:paraId="67C25D3A" w14:textId="77777777" w:rsidTr="00E31F27">
        <w:trPr>
          <w:trHeight w:val="245"/>
        </w:trPr>
        <w:tc>
          <w:tcPr>
            <w:tcW w:w="9639" w:type="dxa"/>
            <w:shd w:val="clear" w:color="auto" w:fill="244061" w:themeFill="accent1" w:themeFillShade="80"/>
          </w:tcPr>
          <w:p w14:paraId="2A71B891" w14:textId="77777777" w:rsidR="00844548" w:rsidRPr="00E31F27" w:rsidRDefault="00E31F27" w:rsidP="00E31F27">
            <w:pPr>
              <w:rPr>
                <w:rFonts w:ascii="Arial" w:hAnsi="Arial" w:cs="Arial"/>
              </w:rPr>
            </w:pPr>
            <w:r w:rsidRPr="00E31F27">
              <w:rPr>
                <w:rFonts w:ascii="Arial" w:hAnsi="Arial" w:cs="Arial"/>
              </w:rPr>
              <w:t>Recommendation</w:t>
            </w:r>
          </w:p>
        </w:tc>
      </w:tr>
      <w:tr w:rsidR="00844548" w:rsidRPr="00E31F27" w14:paraId="3AE5891D" w14:textId="77777777" w:rsidTr="00E31F27">
        <w:trPr>
          <w:trHeight w:val="275"/>
        </w:trPr>
        <w:tc>
          <w:tcPr>
            <w:tcW w:w="9639" w:type="dxa"/>
            <w:shd w:val="clear" w:color="auto" w:fill="FFFFFF" w:themeFill="background1"/>
          </w:tcPr>
          <w:p w14:paraId="267F7002" w14:textId="77777777" w:rsidR="00E31F27" w:rsidRPr="00E31F27" w:rsidRDefault="00E31F27" w:rsidP="00E31F27">
            <w:pPr>
              <w:rPr>
                <w:rFonts w:ascii="Arial" w:hAnsi="Arial" w:cs="Arial"/>
              </w:rPr>
            </w:pPr>
            <w:r w:rsidRPr="00E31F27">
              <w:rPr>
                <w:rFonts w:ascii="Arial" w:hAnsi="Arial" w:cs="Arial"/>
              </w:rPr>
              <w:t>This policy refers to the following benign lesions when there is diagnostic certainty and they do not meet the criteria listed below:</w:t>
            </w:r>
          </w:p>
          <w:p w14:paraId="01F8D2D3" w14:textId="77777777" w:rsidR="00E31F27" w:rsidRPr="00E31F27" w:rsidRDefault="00E31F27" w:rsidP="00E31F27">
            <w:pPr>
              <w:rPr>
                <w:rFonts w:ascii="Arial" w:hAnsi="Arial" w:cs="Arial"/>
              </w:rPr>
            </w:pPr>
            <w:r w:rsidRPr="00E31F27">
              <w:rPr>
                <w:rFonts w:ascii="Arial" w:hAnsi="Arial" w:cs="Arial"/>
              </w:rPr>
              <w:t>benign moles (excluding large congenital naevi)</w:t>
            </w:r>
          </w:p>
          <w:p w14:paraId="41BC90D0" w14:textId="77777777" w:rsidR="00E31F27" w:rsidRPr="00E31F27" w:rsidRDefault="00E31F27" w:rsidP="00E31F27">
            <w:pPr>
              <w:rPr>
                <w:rFonts w:ascii="Arial" w:hAnsi="Arial" w:cs="Arial"/>
              </w:rPr>
            </w:pPr>
            <w:r w:rsidRPr="00E31F27">
              <w:rPr>
                <w:rFonts w:ascii="Arial" w:hAnsi="Arial" w:cs="Arial"/>
              </w:rPr>
              <w:t xml:space="preserve">solar </w:t>
            </w:r>
            <w:proofErr w:type="spellStart"/>
            <w:r w:rsidRPr="00E31F27">
              <w:rPr>
                <w:rFonts w:ascii="Arial" w:hAnsi="Arial" w:cs="Arial"/>
              </w:rPr>
              <w:t>comedones</w:t>
            </w:r>
            <w:proofErr w:type="spellEnd"/>
          </w:p>
          <w:p w14:paraId="7A0C6330" w14:textId="77777777" w:rsidR="00E31F27" w:rsidRPr="00E31F27" w:rsidRDefault="00E31F27" w:rsidP="00E31F27">
            <w:pPr>
              <w:rPr>
                <w:rFonts w:ascii="Arial" w:hAnsi="Arial" w:cs="Arial"/>
              </w:rPr>
            </w:pPr>
            <w:r w:rsidRPr="00E31F27">
              <w:rPr>
                <w:rFonts w:ascii="Arial" w:hAnsi="Arial" w:cs="Arial"/>
              </w:rPr>
              <w:t>corn/callous</w:t>
            </w:r>
          </w:p>
          <w:p w14:paraId="4846214C" w14:textId="77777777" w:rsidR="00E31F27" w:rsidRPr="00E31F27" w:rsidRDefault="00E31F27" w:rsidP="00E31F27">
            <w:pPr>
              <w:rPr>
                <w:rFonts w:ascii="Arial" w:hAnsi="Arial" w:cs="Arial"/>
              </w:rPr>
            </w:pPr>
            <w:r w:rsidRPr="00E31F27">
              <w:rPr>
                <w:rFonts w:ascii="Arial" w:hAnsi="Arial" w:cs="Arial"/>
              </w:rPr>
              <w:t>dermatofibroma</w:t>
            </w:r>
          </w:p>
          <w:p w14:paraId="45783A00" w14:textId="77777777" w:rsidR="00E31F27" w:rsidRPr="00E31F27" w:rsidRDefault="00E31F27" w:rsidP="00E31F27">
            <w:pPr>
              <w:rPr>
                <w:rFonts w:ascii="Arial" w:hAnsi="Arial" w:cs="Arial"/>
              </w:rPr>
            </w:pPr>
            <w:r w:rsidRPr="00E31F27">
              <w:rPr>
                <w:rFonts w:ascii="Arial" w:hAnsi="Arial" w:cs="Arial"/>
              </w:rPr>
              <w:t>lipomas</w:t>
            </w:r>
          </w:p>
          <w:p w14:paraId="3055E03A" w14:textId="77777777" w:rsidR="00E31F27" w:rsidRPr="00E31F27" w:rsidRDefault="00E31F27" w:rsidP="00E31F27">
            <w:pPr>
              <w:rPr>
                <w:rFonts w:ascii="Arial" w:hAnsi="Arial" w:cs="Arial"/>
              </w:rPr>
            </w:pPr>
            <w:r w:rsidRPr="00E31F27">
              <w:rPr>
                <w:rFonts w:ascii="Arial" w:hAnsi="Arial" w:cs="Arial"/>
              </w:rPr>
              <w:t>milia</w:t>
            </w:r>
          </w:p>
          <w:p w14:paraId="6987DCD2" w14:textId="77777777" w:rsidR="00E31F27" w:rsidRPr="00E31F27" w:rsidRDefault="00E31F27" w:rsidP="00E31F27">
            <w:pPr>
              <w:rPr>
                <w:rFonts w:ascii="Arial" w:hAnsi="Arial" w:cs="Arial"/>
              </w:rPr>
            </w:pPr>
            <w:r w:rsidRPr="00E31F27">
              <w:rPr>
                <w:rFonts w:ascii="Arial" w:hAnsi="Arial" w:cs="Arial"/>
              </w:rPr>
              <w:t>molluscum contagiosum (non-genital)</w:t>
            </w:r>
          </w:p>
          <w:p w14:paraId="1C2F56A2" w14:textId="77777777" w:rsidR="00E31F27" w:rsidRPr="00E31F27" w:rsidRDefault="00E31F27" w:rsidP="00E31F27">
            <w:pPr>
              <w:rPr>
                <w:rFonts w:ascii="Arial" w:hAnsi="Arial" w:cs="Arial"/>
              </w:rPr>
            </w:pPr>
            <w:r w:rsidRPr="00E31F27">
              <w:rPr>
                <w:rFonts w:ascii="Arial" w:hAnsi="Arial" w:cs="Arial"/>
              </w:rPr>
              <w:t>epidermoid &amp; pilar cysts (sometimes incorrectly called sebaceous cysts)</w:t>
            </w:r>
          </w:p>
          <w:p w14:paraId="5F1B3F5E" w14:textId="77777777" w:rsidR="00E31F27" w:rsidRPr="00E31F27" w:rsidRDefault="00E31F27" w:rsidP="00E31F27">
            <w:pPr>
              <w:rPr>
                <w:rFonts w:ascii="Arial" w:hAnsi="Arial" w:cs="Arial"/>
              </w:rPr>
            </w:pPr>
            <w:proofErr w:type="spellStart"/>
            <w:r w:rsidRPr="00E31F27">
              <w:rPr>
                <w:rFonts w:ascii="Arial" w:hAnsi="Arial" w:cs="Arial"/>
              </w:rPr>
              <w:t>seborrhoeic</w:t>
            </w:r>
            <w:proofErr w:type="spellEnd"/>
            <w:r w:rsidRPr="00E31F27">
              <w:rPr>
                <w:rFonts w:ascii="Arial" w:hAnsi="Arial" w:cs="Arial"/>
              </w:rPr>
              <w:t xml:space="preserve"> keratoses (basal cell papillomata)</w:t>
            </w:r>
          </w:p>
          <w:p w14:paraId="335AF408" w14:textId="77777777" w:rsidR="00E31F27" w:rsidRPr="00E31F27" w:rsidRDefault="00E31F27" w:rsidP="00E31F27">
            <w:pPr>
              <w:rPr>
                <w:rFonts w:ascii="Arial" w:hAnsi="Arial" w:cs="Arial"/>
              </w:rPr>
            </w:pPr>
            <w:r w:rsidRPr="00E31F27">
              <w:rPr>
                <w:rFonts w:ascii="Arial" w:hAnsi="Arial" w:cs="Arial"/>
              </w:rPr>
              <w:t>skin tags (fibroepithelial polyps) including anal tags</w:t>
            </w:r>
          </w:p>
          <w:p w14:paraId="4350AC8D" w14:textId="77777777" w:rsidR="00E31F27" w:rsidRPr="00E31F27" w:rsidRDefault="00E31F27" w:rsidP="00E31F27">
            <w:pPr>
              <w:rPr>
                <w:rFonts w:ascii="Arial" w:hAnsi="Arial" w:cs="Arial"/>
              </w:rPr>
            </w:pPr>
            <w:r w:rsidRPr="00E31F27">
              <w:rPr>
                <w:rFonts w:ascii="Arial" w:hAnsi="Arial" w:cs="Arial"/>
              </w:rPr>
              <w:t>spider naevi (telangiectasia)</w:t>
            </w:r>
          </w:p>
          <w:p w14:paraId="08F8684E" w14:textId="77777777" w:rsidR="00E31F27" w:rsidRPr="00E31F27" w:rsidRDefault="00E31F27" w:rsidP="00E31F27">
            <w:pPr>
              <w:rPr>
                <w:rFonts w:ascii="Arial" w:hAnsi="Arial" w:cs="Arial"/>
              </w:rPr>
            </w:pPr>
            <w:r w:rsidRPr="00E31F27">
              <w:rPr>
                <w:rFonts w:ascii="Arial" w:hAnsi="Arial" w:cs="Arial"/>
              </w:rPr>
              <w:t>non-genital viral warts in immunocompetent patients</w:t>
            </w:r>
          </w:p>
          <w:p w14:paraId="3CC62BF6" w14:textId="77777777" w:rsidR="00E31F27" w:rsidRPr="00E31F27" w:rsidRDefault="00E31F27" w:rsidP="00E31F27">
            <w:pPr>
              <w:rPr>
                <w:rFonts w:ascii="Arial" w:hAnsi="Arial" w:cs="Arial"/>
              </w:rPr>
            </w:pPr>
            <w:proofErr w:type="spellStart"/>
            <w:r w:rsidRPr="00E31F27">
              <w:rPr>
                <w:rFonts w:ascii="Arial" w:hAnsi="Arial" w:cs="Arial"/>
              </w:rPr>
              <w:t>xanthelasmata</w:t>
            </w:r>
            <w:proofErr w:type="spellEnd"/>
          </w:p>
          <w:p w14:paraId="19915BFA" w14:textId="77777777" w:rsidR="00E31F27" w:rsidRPr="00E31F27" w:rsidRDefault="00E31F27" w:rsidP="00E31F27">
            <w:pPr>
              <w:rPr>
                <w:rFonts w:ascii="Arial" w:hAnsi="Arial" w:cs="Arial"/>
              </w:rPr>
            </w:pPr>
            <w:proofErr w:type="spellStart"/>
            <w:r w:rsidRPr="00E31F27">
              <w:rPr>
                <w:rFonts w:ascii="Arial" w:hAnsi="Arial" w:cs="Arial"/>
              </w:rPr>
              <w:t>neurofibromata</w:t>
            </w:r>
            <w:proofErr w:type="spellEnd"/>
          </w:p>
          <w:p w14:paraId="788256F7" w14:textId="77777777" w:rsidR="00E31F27" w:rsidRPr="00E31F27" w:rsidRDefault="00E31F27" w:rsidP="00E31F27">
            <w:pPr>
              <w:rPr>
                <w:rFonts w:ascii="Arial" w:hAnsi="Arial" w:cs="Arial"/>
              </w:rPr>
            </w:pPr>
          </w:p>
          <w:p w14:paraId="3B4F3712" w14:textId="77777777" w:rsidR="00E31F27" w:rsidRPr="00E31F27" w:rsidRDefault="00E31F27" w:rsidP="00E31F27">
            <w:pPr>
              <w:rPr>
                <w:rFonts w:ascii="Arial" w:hAnsi="Arial" w:cs="Arial"/>
              </w:rPr>
            </w:pPr>
            <w:r w:rsidRPr="00E31F27">
              <w:rPr>
                <w:rFonts w:ascii="Arial" w:hAnsi="Arial" w:cs="Arial"/>
              </w:rPr>
              <w:t>The benign skin lesions, which are listed above, must meet at least ONE of the following criteria to be removed:</w:t>
            </w:r>
          </w:p>
          <w:p w14:paraId="69007265" w14:textId="77777777" w:rsidR="00E31F27" w:rsidRPr="00E31F27" w:rsidRDefault="00E31F27" w:rsidP="00E31F27">
            <w:pPr>
              <w:rPr>
                <w:rFonts w:ascii="Arial" w:hAnsi="Arial" w:cs="Arial"/>
              </w:rPr>
            </w:pPr>
            <w:r w:rsidRPr="00E31F27">
              <w:rPr>
                <w:rFonts w:ascii="Arial" w:hAnsi="Arial" w:cs="Arial"/>
              </w:rPr>
              <w:t xml:space="preserve">The lesion is unavoidably and significantly </w:t>
            </w:r>
            <w:proofErr w:type="spellStart"/>
            <w:r w:rsidRPr="00E31F27">
              <w:rPr>
                <w:rFonts w:ascii="Arial" w:hAnsi="Arial" w:cs="Arial"/>
              </w:rPr>
              <w:t>traumatised</w:t>
            </w:r>
            <w:proofErr w:type="spellEnd"/>
            <w:r w:rsidRPr="00E31F27">
              <w:rPr>
                <w:rFonts w:ascii="Arial" w:hAnsi="Arial" w:cs="Arial"/>
              </w:rPr>
              <w:t xml:space="preserve"> on a regular basis with evidence of this causing regular bleeding or resulting in infections such that the patient requires 2 or more courses of antibiotics (oral or intravenous) per year</w:t>
            </w:r>
          </w:p>
          <w:p w14:paraId="51318A1F" w14:textId="77777777" w:rsidR="00E31F27" w:rsidRPr="00E31F27" w:rsidRDefault="00E31F27" w:rsidP="00E31F27">
            <w:pPr>
              <w:rPr>
                <w:rFonts w:ascii="Arial" w:hAnsi="Arial" w:cs="Arial"/>
              </w:rPr>
            </w:pPr>
            <w:r w:rsidRPr="00E31F27">
              <w:rPr>
                <w:rFonts w:ascii="Arial" w:hAnsi="Arial" w:cs="Arial"/>
              </w:rPr>
              <w:lastRenderedPageBreak/>
              <w:t>There is repeated infection requiring 2 or more antibiotics per year</w:t>
            </w:r>
          </w:p>
          <w:p w14:paraId="748CA3A5" w14:textId="77777777" w:rsidR="00E31F27" w:rsidRPr="00E31F27" w:rsidRDefault="00E31F27" w:rsidP="00E31F27">
            <w:pPr>
              <w:rPr>
                <w:rFonts w:ascii="Arial" w:hAnsi="Arial" w:cs="Arial"/>
              </w:rPr>
            </w:pPr>
            <w:r w:rsidRPr="00E31F27">
              <w:rPr>
                <w:rFonts w:ascii="Arial" w:hAnsi="Arial" w:cs="Arial"/>
              </w:rPr>
              <w:t>The lesion bleeds in the course of normal everyday activity</w:t>
            </w:r>
          </w:p>
          <w:p w14:paraId="526EEFB8" w14:textId="77777777" w:rsidR="00E31F27" w:rsidRPr="00E31F27" w:rsidRDefault="00E31F27" w:rsidP="00E31F27">
            <w:pPr>
              <w:rPr>
                <w:rFonts w:ascii="Arial" w:hAnsi="Arial" w:cs="Arial"/>
              </w:rPr>
            </w:pPr>
            <w:r w:rsidRPr="00E31F27">
              <w:rPr>
                <w:rFonts w:ascii="Arial" w:hAnsi="Arial" w:cs="Arial"/>
              </w:rPr>
              <w:t>The lesion causes regular pain</w:t>
            </w:r>
          </w:p>
          <w:p w14:paraId="04EF4C93" w14:textId="77777777" w:rsidR="00E31F27" w:rsidRPr="00E31F27" w:rsidRDefault="00E31F27" w:rsidP="00E31F27">
            <w:pPr>
              <w:rPr>
                <w:rFonts w:ascii="Arial" w:hAnsi="Arial" w:cs="Arial"/>
              </w:rPr>
            </w:pPr>
            <w:r w:rsidRPr="00E31F27">
              <w:rPr>
                <w:rFonts w:ascii="Arial" w:hAnsi="Arial" w:cs="Arial"/>
              </w:rPr>
              <w:t>The lesion is obstructing an orifice or impairing field vision</w:t>
            </w:r>
          </w:p>
          <w:p w14:paraId="6B595800" w14:textId="77777777" w:rsidR="00E31F27" w:rsidRPr="00E31F27" w:rsidRDefault="00E31F27" w:rsidP="00E31F27">
            <w:pPr>
              <w:rPr>
                <w:rFonts w:ascii="Arial" w:hAnsi="Arial" w:cs="Arial"/>
              </w:rPr>
            </w:pPr>
            <w:r w:rsidRPr="00E31F27">
              <w:rPr>
                <w:rFonts w:ascii="Arial" w:hAnsi="Arial" w:cs="Arial"/>
              </w:rPr>
              <w:t>The lesion significantly impacts on function e.g. restricts joint movement</w:t>
            </w:r>
          </w:p>
          <w:p w14:paraId="5D91E578" w14:textId="77777777" w:rsidR="00E31F27" w:rsidRPr="00E31F27" w:rsidRDefault="00E31F27" w:rsidP="00E31F27">
            <w:pPr>
              <w:rPr>
                <w:rFonts w:ascii="Arial" w:hAnsi="Arial" w:cs="Arial"/>
              </w:rPr>
            </w:pPr>
            <w:r w:rsidRPr="00E31F27">
              <w:rPr>
                <w:rFonts w:ascii="Arial" w:hAnsi="Arial" w:cs="Arial"/>
              </w:rPr>
              <w:t>The lesion causes pressure symptoms e.g. on nerve or tissue</w:t>
            </w:r>
          </w:p>
          <w:p w14:paraId="411D14F8" w14:textId="77777777" w:rsidR="00E31F27" w:rsidRPr="00E31F27" w:rsidRDefault="00E31F27" w:rsidP="00E31F27">
            <w:pPr>
              <w:rPr>
                <w:rFonts w:ascii="Arial" w:hAnsi="Arial" w:cs="Arial"/>
              </w:rPr>
            </w:pPr>
            <w:r w:rsidRPr="00E31F27">
              <w:rPr>
                <w:rFonts w:ascii="Arial" w:hAnsi="Arial" w:cs="Arial"/>
              </w:rPr>
              <w:t>If left untreated, more invasive intervention would be required for removal</w:t>
            </w:r>
          </w:p>
          <w:p w14:paraId="13BA48E9" w14:textId="77777777" w:rsidR="00E31F27" w:rsidRPr="00E31F27" w:rsidRDefault="00E31F27" w:rsidP="00E31F27">
            <w:pPr>
              <w:rPr>
                <w:rFonts w:ascii="Arial" w:hAnsi="Arial" w:cs="Arial"/>
              </w:rPr>
            </w:pPr>
            <w:r w:rsidRPr="00E31F27">
              <w:rPr>
                <w:rFonts w:ascii="Arial" w:hAnsi="Arial" w:cs="Arial"/>
              </w:rPr>
              <w:t>Facial viral warts</w:t>
            </w:r>
          </w:p>
          <w:p w14:paraId="6C8BCBD0" w14:textId="77777777" w:rsidR="00E31F27" w:rsidRPr="00E31F27" w:rsidRDefault="00E31F27" w:rsidP="00E31F27">
            <w:pPr>
              <w:rPr>
                <w:rFonts w:ascii="Arial" w:hAnsi="Arial" w:cs="Arial"/>
              </w:rPr>
            </w:pPr>
            <w:r w:rsidRPr="00E31F27">
              <w:rPr>
                <w:rFonts w:ascii="Arial" w:hAnsi="Arial" w:cs="Arial"/>
              </w:rPr>
              <w:t>Facial spider naevi in children causing significant psychological impact</w:t>
            </w:r>
          </w:p>
          <w:p w14:paraId="4A16DB1B" w14:textId="77777777" w:rsidR="00E31F27" w:rsidRPr="00E31F27" w:rsidRDefault="00E31F27" w:rsidP="00E31F27">
            <w:pPr>
              <w:rPr>
                <w:rFonts w:ascii="Arial" w:hAnsi="Arial" w:cs="Arial"/>
              </w:rPr>
            </w:pPr>
            <w:r w:rsidRPr="00E31F27">
              <w:rPr>
                <w:rFonts w:ascii="Arial" w:hAnsi="Arial" w:cs="Arial"/>
              </w:rPr>
              <w:t>Lipomas on the body &gt; 5cms, or in a sub-facial position, with rapid growth and/or pain. These should be referred to Sarcoma clinic.</w:t>
            </w:r>
          </w:p>
          <w:p w14:paraId="69E06E0D" w14:textId="77777777" w:rsidR="00E31F27" w:rsidRPr="00E31F27" w:rsidRDefault="00E31F27" w:rsidP="00E31F27">
            <w:pPr>
              <w:rPr>
                <w:rFonts w:ascii="Arial" w:hAnsi="Arial" w:cs="Arial"/>
              </w:rPr>
            </w:pPr>
          </w:p>
          <w:p w14:paraId="61EAE15B" w14:textId="77777777" w:rsidR="00E31F27" w:rsidRPr="00E31F27" w:rsidRDefault="00E31F27" w:rsidP="00E31F27">
            <w:pPr>
              <w:rPr>
                <w:rFonts w:ascii="Arial" w:hAnsi="Arial" w:cs="Arial"/>
              </w:rPr>
            </w:pPr>
            <w:r w:rsidRPr="00E31F27">
              <w:rPr>
                <w:rFonts w:ascii="Arial" w:hAnsi="Arial" w:cs="Arial"/>
              </w:rPr>
              <w:t>The following are outside the scope of this policy recommendation:</w:t>
            </w:r>
          </w:p>
          <w:p w14:paraId="0AD44AD6" w14:textId="77777777" w:rsidR="00E31F27" w:rsidRPr="00E31F27" w:rsidRDefault="00E31F27" w:rsidP="00E31F27">
            <w:pPr>
              <w:rPr>
                <w:rFonts w:ascii="Arial" w:hAnsi="Arial" w:cs="Arial"/>
              </w:rPr>
            </w:pPr>
            <w:r w:rsidRPr="00E31F27">
              <w:rPr>
                <w:rFonts w:ascii="Arial" w:hAnsi="Arial" w:cs="Arial"/>
              </w:rPr>
              <w:t>Lesions that are suspicious of malignancy should be treated or referred according to NICE skin cancer guidelines.</w:t>
            </w:r>
          </w:p>
          <w:p w14:paraId="0D47A101" w14:textId="77777777" w:rsidR="00E31F27" w:rsidRPr="00E31F27" w:rsidRDefault="00E31F27" w:rsidP="00E31F27">
            <w:pPr>
              <w:rPr>
                <w:rFonts w:ascii="Arial" w:hAnsi="Arial" w:cs="Arial"/>
              </w:rPr>
            </w:pPr>
            <w:r w:rsidRPr="00E31F27">
              <w:rPr>
                <w:rFonts w:ascii="Arial" w:hAnsi="Arial" w:cs="Arial"/>
              </w:rPr>
              <w:t>Any lesion where there is diagnostic uncertainty, pre-malignant</w:t>
            </w:r>
          </w:p>
          <w:p w14:paraId="0FF84BC1" w14:textId="77777777" w:rsidR="00E31F27" w:rsidRPr="00E31F27" w:rsidRDefault="00E31F27" w:rsidP="00E31F27">
            <w:pPr>
              <w:rPr>
                <w:rFonts w:ascii="Arial" w:hAnsi="Arial" w:cs="Arial"/>
              </w:rPr>
            </w:pPr>
            <w:r w:rsidRPr="00E31F27">
              <w:rPr>
                <w:rFonts w:ascii="Arial" w:hAnsi="Arial" w:cs="Arial"/>
              </w:rPr>
              <w:t>lesions (actinic keratoses, Bowen disease) or lesions with pre-malignant potential should be referred or, where appropriate, treated in primary care.</w:t>
            </w:r>
          </w:p>
          <w:p w14:paraId="437EDAEB" w14:textId="77777777" w:rsidR="00E31F27" w:rsidRDefault="00E31F27" w:rsidP="00E31F27">
            <w:pPr>
              <w:rPr>
                <w:rFonts w:ascii="Arial" w:hAnsi="Arial" w:cs="Arial"/>
              </w:rPr>
            </w:pPr>
            <w:r w:rsidRPr="00E31F27">
              <w:rPr>
                <w:rFonts w:ascii="Arial" w:hAnsi="Arial" w:cs="Arial"/>
              </w:rPr>
              <w:t xml:space="preserve">Removal of lesions other than those listed above. </w:t>
            </w:r>
          </w:p>
          <w:p w14:paraId="74A13EDD" w14:textId="77777777" w:rsidR="00E31F27" w:rsidRPr="00E31F27" w:rsidRDefault="00E31F27" w:rsidP="00E31F27">
            <w:pPr>
              <w:rPr>
                <w:rFonts w:ascii="Arial" w:hAnsi="Arial" w:cs="Arial"/>
              </w:rPr>
            </w:pPr>
            <w:r w:rsidRPr="00E31F27">
              <w:rPr>
                <w:rFonts w:ascii="Arial" w:hAnsi="Arial" w:cs="Arial"/>
              </w:rPr>
              <w:t>Referral to dermatology or plastic surgery:</w:t>
            </w:r>
          </w:p>
          <w:p w14:paraId="68F587CA" w14:textId="77777777" w:rsidR="00E31F27" w:rsidRPr="00E31F27" w:rsidRDefault="00E31F27" w:rsidP="00E31F27">
            <w:pPr>
              <w:rPr>
                <w:rFonts w:ascii="Arial" w:hAnsi="Arial" w:cs="Arial"/>
              </w:rPr>
            </w:pPr>
            <w:r w:rsidRPr="00E31F27">
              <w:rPr>
                <w:rFonts w:ascii="Arial" w:hAnsi="Arial" w:cs="Arial"/>
              </w:rPr>
              <w:t>The decision as to whether a patient meets the criteria is primarily with the referring clinician. If such lesions are referred, then the referrer should state that this policy has been considered and why the patient meets the criteria.</w:t>
            </w:r>
          </w:p>
          <w:p w14:paraId="2E67329D" w14:textId="77777777" w:rsidR="00E31F27" w:rsidRPr="00E31F27" w:rsidRDefault="00E31F27" w:rsidP="00E31F27">
            <w:pPr>
              <w:rPr>
                <w:rFonts w:ascii="Arial" w:hAnsi="Arial" w:cs="Arial"/>
              </w:rPr>
            </w:pPr>
            <w:r w:rsidRPr="00E31F27">
              <w:rPr>
                <w:rFonts w:ascii="Arial" w:hAnsi="Arial" w:cs="Arial"/>
              </w:rPr>
              <w:t>Requests for treatment where a patient meets the criteria do not require prior approval or an IFR.</w:t>
            </w:r>
          </w:p>
          <w:p w14:paraId="480D8FE5" w14:textId="77777777" w:rsidR="00E31F27" w:rsidRPr="00E31F27" w:rsidRDefault="00E31F27" w:rsidP="00E31F27">
            <w:pPr>
              <w:rPr>
                <w:rFonts w:ascii="Arial" w:hAnsi="Arial" w:cs="Arial"/>
              </w:rPr>
            </w:pPr>
            <w:r w:rsidRPr="00E31F27">
              <w:rPr>
                <w:rFonts w:ascii="Arial" w:hAnsi="Arial" w:cs="Arial"/>
              </w:rPr>
              <w:t xml:space="preserve">This policy applies to all providers, </w:t>
            </w:r>
            <w:proofErr w:type="gramStart"/>
            <w:r w:rsidRPr="00E31F27">
              <w:rPr>
                <w:rFonts w:ascii="Arial" w:hAnsi="Arial" w:cs="Arial"/>
              </w:rPr>
              <w:t>including  general</w:t>
            </w:r>
            <w:proofErr w:type="gramEnd"/>
            <w:r w:rsidRPr="00E31F27">
              <w:rPr>
                <w:rFonts w:ascii="Arial" w:hAnsi="Arial" w:cs="Arial"/>
              </w:rPr>
              <w:t xml:space="preserve">  practitioners  (GPs), GPs with enhanced role (</w:t>
            </w:r>
            <w:proofErr w:type="spellStart"/>
            <w:r w:rsidRPr="00E31F27">
              <w:rPr>
                <w:rFonts w:ascii="Arial" w:hAnsi="Arial" w:cs="Arial"/>
              </w:rPr>
              <w:t>GPwer</w:t>
            </w:r>
            <w:proofErr w:type="spellEnd"/>
            <w:r w:rsidRPr="00E31F27">
              <w:rPr>
                <w:rFonts w:ascii="Arial" w:hAnsi="Arial" w:cs="Arial"/>
              </w:rPr>
              <w:t>), independent providers, and community or intermediate services.</w:t>
            </w:r>
          </w:p>
          <w:p w14:paraId="4B561C62" w14:textId="77777777" w:rsidR="00E31F27" w:rsidRPr="00E31F27" w:rsidRDefault="00E31F27" w:rsidP="00E31F27">
            <w:pPr>
              <w:rPr>
                <w:rFonts w:ascii="Arial" w:hAnsi="Arial" w:cs="Arial"/>
              </w:rPr>
            </w:pPr>
          </w:p>
          <w:p w14:paraId="418BAD6C" w14:textId="77777777" w:rsidR="00E31F27" w:rsidRPr="00E31F27" w:rsidRDefault="00E31F27" w:rsidP="00E31F27">
            <w:pPr>
              <w:rPr>
                <w:rFonts w:ascii="Arial" w:hAnsi="Arial" w:cs="Arial"/>
              </w:rPr>
            </w:pPr>
            <w:r w:rsidRPr="00E31F27">
              <w:rPr>
                <w:rFonts w:ascii="Arial" w:hAnsi="Arial" w:cs="Arial"/>
              </w:rPr>
              <w:t>For further information, please see:</w:t>
            </w:r>
          </w:p>
          <w:p w14:paraId="2688EF90" w14:textId="77777777" w:rsidR="00E31F27" w:rsidRPr="00E31F27" w:rsidRDefault="00E31F27" w:rsidP="00E31F27">
            <w:pPr>
              <w:rPr>
                <w:rFonts w:ascii="Arial" w:hAnsi="Arial" w:cs="Arial"/>
              </w:rPr>
            </w:pPr>
            <w:r w:rsidRPr="00E31F27">
              <w:rPr>
                <w:rFonts w:ascii="Arial" w:hAnsi="Arial" w:cs="Arial"/>
              </w:rPr>
              <w:t>https://</w:t>
            </w:r>
            <w:hyperlink r:id="rId8">
              <w:r w:rsidRPr="00E31F27">
                <w:rPr>
                  <w:rStyle w:val="Hyperlink"/>
                  <w:rFonts w:ascii="Arial" w:hAnsi="Arial" w:cs="Arial"/>
                </w:rPr>
                <w:t>www.nice.org.uk/guidance/csg8</w:t>
              </w:r>
            </w:hyperlink>
          </w:p>
          <w:p w14:paraId="6E5B2D4B" w14:textId="77777777" w:rsidR="00844548" w:rsidRPr="00E31F27" w:rsidRDefault="00E31F27" w:rsidP="00E31F27">
            <w:pPr>
              <w:rPr>
                <w:rFonts w:ascii="Arial" w:hAnsi="Arial" w:cs="Arial"/>
              </w:rPr>
            </w:pPr>
            <w:r w:rsidRPr="00E31F27">
              <w:rPr>
                <w:rFonts w:ascii="Arial" w:hAnsi="Arial" w:cs="Arial"/>
              </w:rPr>
              <w:t>https://</w:t>
            </w:r>
            <w:hyperlink r:id="rId9">
              <w:r w:rsidRPr="00E31F27">
                <w:rPr>
                  <w:rStyle w:val="Hyperlink"/>
                  <w:rFonts w:ascii="Arial" w:hAnsi="Arial" w:cs="Arial"/>
                </w:rPr>
                <w:t>www.nice.org.uk/guidance/ng12</w:t>
              </w:r>
            </w:hyperlink>
          </w:p>
        </w:tc>
      </w:tr>
      <w:tr w:rsidR="00844548" w:rsidRPr="00E31F27" w14:paraId="6604D37F" w14:textId="77777777" w:rsidTr="00E31F27">
        <w:trPr>
          <w:trHeight w:val="275"/>
        </w:trPr>
        <w:tc>
          <w:tcPr>
            <w:tcW w:w="9639" w:type="dxa"/>
            <w:shd w:val="clear" w:color="auto" w:fill="16365D"/>
          </w:tcPr>
          <w:p w14:paraId="12C9E28C" w14:textId="77777777" w:rsidR="00844548" w:rsidRPr="00E31F27" w:rsidRDefault="00844548" w:rsidP="00E31F27">
            <w:pPr>
              <w:rPr>
                <w:rFonts w:ascii="Arial" w:hAnsi="Arial" w:cs="Arial"/>
              </w:rPr>
            </w:pPr>
            <w:r w:rsidRPr="00E31F27">
              <w:rPr>
                <w:rFonts w:ascii="Arial" w:hAnsi="Arial" w:cs="Arial"/>
              </w:rPr>
              <w:lastRenderedPageBreak/>
              <w:t>Rationale for recommendation</w:t>
            </w:r>
          </w:p>
        </w:tc>
      </w:tr>
      <w:tr w:rsidR="00844548" w:rsidRPr="00E31F27" w14:paraId="2315037E" w14:textId="77777777" w:rsidTr="00E31F27">
        <w:trPr>
          <w:trHeight w:val="1225"/>
        </w:trPr>
        <w:tc>
          <w:tcPr>
            <w:tcW w:w="9639" w:type="dxa"/>
          </w:tcPr>
          <w:p w14:paraId="6232A9A5" w14:textId="77777777" w:rsidR="00844548" w:rsidRPr="00E31F27" w:rsidRDefault="00844548" w:rsidP="00E31F27">
            <w:pPr>
              <w:rPr>
                <w:rFonts w:ascii="Arial" w:hAnsi="Arial" w:cs="Arial"/>
              </w:rPr>
            </w:pPr>
            <w:r w:rsidRPr="00E31F27">
              <w:rPr>
                <w:rFonts w:ascii="Arial" w:hAnsi="Arial" w:cs="Arial"/>
              </w:rPr>
              <w:t>There is little evidence to suggest that removing benign skin lesions to improve appearance is beneficial. Risks of this procedure include bleeding, pain, infection and scarring. Though in certain specific cases as outlined by the criteria above, there are benefits for removing skin lesions, for example, avoidance of pain and allowing normal functioning.</w:t>
            </w:r>
          </w:p>
          <w:p w14:paraId="4CA2F81B" w14:textId="77777777" w:rsidR="00844548" w:rsidRPr="00E31F27" w:rsidRDefault="00844548" w:rsidP="00E31F27">
            <w:pPr>
              <w:rPr>
                <w:rFonts w:ascii="Arial" w:hAnsi="Arial" w:cs="Arial"/>
              </w:rPr>
            </w:pPr>
          </w:p>
        </w:tc>
      </w:tr>
      <w:tr w:rsidR="00E31F27" w:rsidRPr="00E31F27" w14:paraId="76E185AE" w14:textId="77777777" w:rsidTr="00E31F27">
        <w:trPr>
          <w:trHeight w:val="127"/>
        </w:trPr>
        <w:tc>
          <w:tcPr>
            <w:tcW w:w="9639" w:type="dxa"/>
            <w:shd w:val="clear" w:color="auto" w:fill="244061" w:themeFill="accent1" w:themeFillShade="80"/>
          </w:tcPr>
          <w:p w14:paraId="7833D0E3" w14:textId="77777777" w:rsidR="00E31F27" w:rsidRPr="00E31F27" w:rsidRDefault="00E31F27" w:rsidP="00E31F27">
            <w:pPr>
              <w:rPr>
                <w:rFonts w:ascii="Arial" w:hAnsi="Arial" w:cs="Arial"/>
              </w:rPr>
            </w:pPr>
            <w:r w:rsidRPr="00E31F27">
              <w:rPr>
                <w:rFonts w:ascii="Arial" w:hAnsi="Arial" w:cs="Arial"/>
              </w:rPr>
              <w:t>References</w:t>
            </w:r>
          </w:p>
        </w:tc>
      </w:tr>
      <w:tr w:rsidR="00E31F27" w:rsidRPr="00E31F27" w14:paraId="4C565C26" w14:textId="77777777" w:rsidTr="00E31F27">
        <w:trPr>
          <w:trHeight w:val="1151"/>
        </w:trPr>
        <w:tc>
          <w:tcPr>
            <w:tcW w:w="9639" w:type="dxa"/>
          </w:tcPr>
          <w:p w14:paraId="44D24FBC" w14:textId="77777777" w:rsidR="00E31F27" w:rsidRPr="00E31F27" w:rsidRDefault="00E31F27" w:rsidP="00E31F27">
            <w:pPr>
              <w:rPr>
                <w:rFonts w:ascii="Arial" w:hAnsi="Arial" w:cs="Arial"/>
              </w:rPr>
            </w:pPr>
            <w:r w:rsidRPr="00E31F27">
              <w:rPr>
                <w:rFonts w:ascii="Arial" w:hAnsi="Arial" w:cs="Arial"/>
              </w:rPr>
              <w:t>Higgins JC, Maher MH, Douglas MS. Diagnosing Common Benign Skin Tumors. Am Fam Physician. 2015 Oct 1;92(7):601-7. PubMed PMID: 26447443.</w:t>
            </w:r>
          </w:p>
          <w:p w14:paraId="5349ABF3" w14:textId="77777777" w:rsidR="00E31F27" w:rsidRPr="00E31F27" w:rsidRDefault="00E31F27" w:rsidP="00E31F27">
            <w:pPr>
              <w:rPr>
                <w:rFonts w:ascii="Arial" w:hAnsi="Arial" w:cs="Arial"/>
              </w:rPr>
            </w:pPr>
            <w:r w:rsidRPr="00E31F27">
              <w:rPr>
                <w:rFonts w:ascii="Arial" w:hAnsi="Arial" w:cs="Arial"/>
              </w:rPr>
              <w:t>Tan E, Levell NJ, Garioch JJ. The effect of a dermatology restricted-referral list upon the volume of referrals. Clin Exp Dermatol. 2007 Jan;32(1):114-5. PubMed PMID: 17305918.</w:t>
            </w:r>
          </w:p>
        </w:tc>
      </w:tr>
    </w:tbl>
    <w:p w14:paraId="2819F399" w14:textId="77777777" w:rsidR="00E31F27" w:rsidRDefault="00E31F27" w:rsidP="00E31F27">
      <w:pPr>
        <w:rPr>
          <w:rFonts w:ascii="Arial" w:hAnsi="Arial" w:cs="Arial"/>
          <w:i/>
          <w:sz w:val="24"/>
        </w:rPr>
      </w:pPr>
    </w:p>
    <w:p w14:paraId="06A30D9A" w14:textId="77777777" w:rsidR="00E31F27" w:rsidRPr="0002074D" w:rsidRDefault="00E31F27" w:rsidP="00E31F27">
      <w:pPr>
        <w:rPr>
          <w:rFonts w:ascii="Arial" w:hAnsi="Arial" w:cs="Arial"/>
          <w:i/>
          <w:sz w:val="24"/>
        </w:rPr>
      </w:pPr>
      <w:r w:rsidRPr="0002074D">
        <w:rPr>
          <w:rFonts w:ascii="Arial" w:hAnsi="Arial" w:cs="Arial"/>
          <w:i/>
          <w:sz w:val="24"/>
        </w:rPr>
        <w:t>Evidence-Based Interventions: Guidance for CCGs</w:t>
      </w:r>
    </w:p>
    <w:p w14:paraId="384D7854" w14:textId="77777777" w:rsidR="00E31F27" w:rsidRPr="0002074D" w:rsidRDefault="00E31F27" w:rsidP="00E31F27">
      <w:pPr>
        <w:rPr>
          <w:rFonts w:ascii="Arial" w:hAnsi="Arial" w:cs="Arial"/>
          <w:i/>
          <w:sz w:val="20"/>
        </w:rPr>
      </w:pPr>
      <w:r w:rsidRPr="0002074D">
        <w:rPr>
          <w:rFonts w:ascii="Arial" w:hAnsi="Arial" w:cs="Arial"/>
          <w:i/>
          <w:sz w:val="20"/>
        </w:rPr>
        <w:t>Published by NHS England in partnership with NHS Clinical Commissioners, the Academy of Medical Royal Colleges, NHS Improvement and the National Institute for Health and Care Excellence</w:t>
      </w:r>
    </w:p>
    <w:p w14:paraId="0F0E0EE0" w14:textId="77777777" w:rsidR="00E31F27" w:rsidRPr="0002074D" w:rsidRDefault="00E31F27" w:rsidP="00E31F27">
      <w:pPr>
        <w:rPr>
          <w:rFonts w:ascii="Arial" w:hAnsi="Arial" w:cs="Arial"/>
          <w:i/>
        </w:rPr>
      </w:pPr>
      <w:r w:rsidRPr="0002074D">
        <w:rPr>
          <w:rFonts w:ascii="Arial" w:hAnsi="Arial" w:cs="Arial"/>
          <w:i/>
        </w:rPr>
        <w:t>Version number: 1</w:t>
      </w:r>
    </w:p>
    <w:p w14:paraId="295D717B" w14:textId="77777777" w:rsidR="00E31F27" w:rsidRPr="0002074D" w:rsidRDefault="00E31F27" w:rsidP="00E31F27">
      <w:pPr>
        <w:rPr>
          <w:rFonts w:ascii="Arial" w:hAnsi="Arial" w:cs="Arial"/>
          <w:i/>
        </w:rPr>
      </w:pPr>
      <w:r w:rsidRPr="0002074D">
        <w:rPr>
          <w:rFonts w:ascii="Arial" w:hAnsi="Arial" w:cs="Arial"/>
          <w:i/>
        </w:rPr>
        <w:t>First published: 28 November 2018</w:t>
      </w:r>
    </w:p>
    <w:p w14:paraId="00D747D1" w14:textId="77777777" w:rsidR="00E31F27" w:rsidRPr="0002074D" w:rsidRDefault="00E31F27" w:rsidP="00E31F27">
      <w:pPr>
        <w:rPr>
          <w:rFonts w:ascii="Arial" w:hAnsi="Arial" w:cs="Arial"/>
          <w:i/>
        </w:rPr>
      </w:pPr>
      <w:r w:rsidRPr="0002074D">
        <w:rPr>
          <w:rFonts w:ascii="Arial" w:hAnsi="Arial" w:cs="Arial"/>
          <w:i/>
        </w:rPr>
        <w:t>Prepared by: NHS England Medical directorate and Strategy and Innovation directorate</w:t>
      </w:r>
    </w:p>
    <w:p w14:paraId="5DEABF04" w14:textId="77777777" w:rsidR="00E31F27" w:rsidRPr="0002074D" w:rsidRDefault="00E31F27" w:rsidP="00E31F27">
      <w:pPr>
        <w:rPr>
          <w:rFonts w:ascii="Arial" w:hAnsi="Arial" w:cs="Arial"/>
          <w:i/>
        </w:rPr>
      </w:pPr>
      <w:r w:rsidRPr="0002074D">
        <w:rPr>
          <w:rFonts w:ascii="Arial" w:hAnsi="Arial" w:cs="Arial"/>
          <w:i/>
        </w:rPr>
        <w:t>Classification: OFFICIAL</w:t>
      </w:r>
    </w:p>
    <w:p w14:paraId="11AEEF19" w14:textId="77777777" w:rsidR="00E31F27" w:rsidRPr="0002074D" w:rsidRDefault="00E31F27" w:rsidP="00E31F27">
      <w:pPr>
        <w:rPr>
          <w:rFonts w:ascii="Arial" w:hAnsi="Arial" w:cs="Arial"/>
          <w:i/>
        </w:rPr>
      </w:pPr>
      <w:r w:rsidRPr="0002074D">
        <w:rPr>
          <w:rFonts w:ascii="Arial" w:hAnsi="Arial" w:cs="Arial"/>
          <w:i/>
        </w:rPr>
        <w:t>NHS England Publications Gateway Reference: 08659</w:t>
      </w:r>
    </w:p>
    <w:p w14:paraId="7F174D92" w14:textId="77777777" w:rsidR="0065099C" w:rsidRPr="00E31F27" w:rsidRDefault="0065099C" w:rsidP="00E31F27">
      <w:pPr>
        <w:rPr>
          <w:rFonts w:ascii="Arial" w:hAnsi="Arial" w:cs="Arial"/>
        </w:rPr>
      </w:pPr>
    </w:p>
    <w:sectPr w:rsidR="0065099C" w:rsidRPr="00E31F27" w:rsidSect="00E31F27">
      <w:headerReference w:type="default" r:id="rId10"/>
      <w:pgSz w:w="11907" w:h="16840" w:code="9"/>
      <w:pgMar w:top="1440" w:right="1275"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A595" w14:textId="77777777" w:rsidR="00E31F27" w:rsidRDefault="00E31F27" w:rsidP="00E31F27">
      <w:r>
        <w:separator/>
      </w:r>
    </w:p>
  </w:endnote>
  <w:endnote w:type="continuationSeparator" w:id="0">
    <w:p w14:paraId="4BC38CE4" w14:textId="77777777" w:rsidR="00E31F27" w:rsidRDefault="00E31F27" w:rsidP="00E3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E2C9" w14:textId="77777777" w:rsidR="00E31F27" w:rsidRDefault="00E31F27" w:rsidP="00E31F27">
      <w:r>
        <w:separator/>
      </w:r>
    </w:p>
  </w:footnote>
  <w:footnote w:type="continuationSeparator" w:id="0">
    <w:p w14:paraId="69BEB4F5" w14:textId="77777777" w:rsidR="00E31F27" w:rsidRDefault="00E31F27" w:rsidP="00E31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C12F" w14:textId="77777777" w:rsidR="00E31F27" w:rsidRDefault="00E31F27">
    <w:pPr>
      <w:pStyle w:val="Header"/>
    </w:pPr>
  </w:p>
  <w:p w14:paraId="183CF926" w14:textId="77777777" w:rsidR="00E31F27" w:rsidRDefault="00E31F27">
    <w:pPr>
      <w:pStyle w:val="Header"/>
    </w:pPr>
    <w:r w:rsidRPr="00573022">
      <w:rPr>
        <w:noProof/>
        <w:lang w:val="en-GB" w:eastAsia="en-GB"/>
      </w:rPr>
      <w:drawing>
        <wp:inline distT="0" distB="0" distL="0" distR="0" wp14:anchorId="02DA6D73" wp14:editId="10A59692">
          <wp:extent cx="3992880" cy="766769"/>
          <wp:effectExtent l="0" t="0" r="7620" b="0"/>
          <wp:docPr id="5" name="Picture 6" descr="Frimley Health and Care logo Final RGB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rimley Health and Care logo Final RGB HIGH res.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94498" cy="767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F3586"/>
    <w:multiLevelType w:val="hybridMultilevel"/>
    <w:tmpl w:val="2EC49D44"/>
    <w:lvl w:ilvl="0" w:tplc="E65ABFB2">
      <w:numFmt w:val="bullet"/>
      <w:lvlText w:val="□"/>
      <w:lvlJc w:val="left"/>
      <w:pPr>
        <w:ind w:left="827" w:hanging="360"/>
      </w:pPr>
      <w:rPr>
        <w:rFonts w:hint="default"/>
        <w:w w:val="75"/>
      </w:rPr>
    </w:lvl>
    <w:lvl w:ilvl="1" w:tplc="7FB49320">
      <w:numFmt w:val="bullet"/>
      <w:lvlText w:val="•"/>
      <w:lvlJc w:val="left"/>
      <w:pPr>
        <w:ind w:left="1642" w:hanging="360"/>
      </w:pPr>
      <w:rPr>
        <w:rFonts w:hint="default"/>
      </w:rPr>
    </w:lvl>
    <w:lvl w:ilvl="2" w:tplc="C310C330">
      <w:numFmt w:val="bullet"/>
      <w:lvlText w:val="•"/>
      <w:lvlJc w:val="left"/>
      <w:pPr>
        <w:ind w:left="2465" w:hanging="360"/>
      </w:pPr>
      <w:rPr>
        <w:rFonts w:hint="default"/>
      </w:rPr>
    </w:lvl>
    <w:lvl w:ilvl="3" w:tplc="81866B38">
      <w:numFmt w:val="bullet"/>
      <w:lvlText w:val="•"/>
      <w:lvlJc w:val="left"/>
      <w:pPr>
        <w:ind w:left="3287" w:hanging="360"/>
      </w:pPr>
      <w:rPr>
        <w:rFonts w:hint="default"/>
      </w:rPr>
    </w:lvl>
    <w:lvl w:ilvl="4" w:tplc="BF664B74">
      <w:numFmt w:val="bullet"/>
      <w:lvlText w:val="•"/>
      <w:lvlJc w:val="left"/>
      <w:pPr>
        <w:ind w:left="4110" w:hanging="360"/>
      </w:pPr>
      <w:rPr>
        <w:rFonts w:hint="default"/>
      </w:rPr>
    </w:lvl>
    <w:lvl w:ilvl="5" w:tplc="1EBEDB46">
      <w:numFmt w:val="bullet"/>
      <w:lvlText w:val="•"/>
      <w:lvlJc w:val="left"/>
      <w:pPr>
        <w:ind w:left="4932" w:hanging="360"/>
      </w:pPr>
      <w:rPr>
        <w:rFonts w:hint="default"/>
      </w:rPr>
    </w:lvl>
    <w:lvl w:ilvl="6" w:tplc="C6E85F24">
      <w:numFmt w:val="bullet"/>
      <w:lvlText w:val="•"/>
      <w:lvlJc w:val="left"/>
      <w:pPr>
        <w:ind w:left="5755" w:hanging="360"/>
      </w:pPr>
      <w:rPr>
        <w:rFonts w:hint="default"/>
      </w:rPr>
    </w:lvl>
    <w:lvl w:ilvl="7" w:tplc="3EF0C816">
      <w:numFmt w:val="bullet"/>
      <w:lvlText w:val="•"/>
      <w:lvlJc w:val="left"/>
      <w:pPr>
        <w:ind w:left="6577" w:hanging="360"/>
      </w:pPr>
      <w:rPr>
        <w:rFonts w:hint="default"/>
      </w:rPr>
    </w:lvl>
    <w:lvl w:ilvl="8" w:tplc="70CA98A4">
      <w:numFmt w:val="bullet"/>
      <w:lvlText w:val="•"/>
      <w:lvlJc w:val="left"/>
      <w:pPr>
        <w:ind w:left="7400" w:hanging="360"/>
      </w:pPr>
      <w:rPr>
        <w:rFonts w:hint="default"/>
      </w:rPr>
    </w:lvl>
  </w:abstractNum>
  <w:abstractNum w:abstractNumId="1" w15:restartNumberingAfterBreak="0">
    <w:nsid w:val="30D04D8C"/>
    <w:multiLevelType w:val="hybridMultilevel"/>
    <w:tmpl w:val="6B1C9842"/>
    <w:lvl w:ilvl="0" w:tplc="83829B70">
      <w:numFmt w:val="bullet"/>
      <w:lvlText w:val="□"/>
      <w:lvlJc w:val="left"/>
      <w:pPr>
        <w:ind w:left="827" w:hanging="360"/>
      </w:pPr>
      <w:rPr>
        <w:rFonts w:hint="default"/>
        <w:w w:val="75"/>
      </w:rPr>
    </w:lvl>
    <w:lvl w:ilvl="1" w:tplc="AD5C3E26">
      <w:numFmt w:val="bullet"/>
      <w:lvlText w:val="•"/>
      <w:lvlJc w:val="left"/>
      <w:pPr>
        <w:ind w:left="1642" w:hanging="360"/>
      </w:pPr>
      <w:rPr>
        <w:rFonts w:hint="default"/>
      </w:rPr>
    </w:lvl>
    <w:lvl w:ilvl="2" w:tplc="AF30528C">
      <w:numFmt w:val="bullet"/>
      <w:lvlText w:val="•"/>
      <w:lvlJc w:val="left"/>
      <w:pPr>
        <w:ind w:left="2465" w:hanging="360"/>
      </w:pPr>
      <w:rPr>
        <w:rFonts w:hint="default"/>
      </w:rPr>
    </w:lvl>
    <w:lvl w:ilvl="3" w:tplc="2850F51C">
      <w:numFmt w:val="bullet"/>
      <w:lvlText w:val="•"/>
      <w:lvlJc w:val="left"/>
      <w:pPr>
        <w:ind w:left="3287" w:hanging="360"/>
      </w:pPr>
      <w:rPr>
        <w:rFonts w:hint="default"/>
      </w:rPr>
    </w:lvl>
    <w:lvl w:ilvl="4" w:tplc="B866C0AE">
      <w:numFmt w:val="bullet"/>
      <w:lvlText w:val="•"/>
      <w:lvlJc w:val="left"/>
      <w:pPr>
        <w:ind w:left="4110" w:hanging="360"/>
      </w:pPr>
      <w:rPr>
        <w:rFonts w:hint="default"/>
      </w:rPr>
    </w:lvl>
    <w:lvl w:ilvl="5" w:tplc="67F0BBFE">
      <w:numFmt w:val="bullet"/>
      <w:lvlText w:val="•"/>
      <w:lvlJc w:val="left"/>
      <w:pPr>
        <w:ind w:left="4932" w:hanging="360"/>
      </w:pPr>
      <w:rPr>
        <w:rFonts w:hint="default"/>
      </w:rPr>
    </w:lvl>
    <w:lvl w:ilvl="6" w:tplc="8FD8FCDE">
      <w:numFmt w:val="bullet"/>
      <w:lvlText w:val="•"/>
      <w:lvlJc w:val="left"/>
      <w:pPr>
        <w:ind w:left="5755" w:hanging="360"/>
      </w:pPr>
      <w:rPr>
        <w:rFonts w:hint="default"/>
      </w:rPr>
    </w:lvl>
    <w:lvl w:ilvl="7" w:tplc="6C4627F2">
      <w:numFmt w:val="bullet"/>
      <w:lvlText w:val="•"/>
      <w:lvlJc w:val="left"/>
      <w:pPr>
        <w:ind w:left="6577" w:hanging="360"/>
      </w:pPr>
      <w:rPr>
        <w:rFonts w:hint="default"/>
      </w:rPr>
    </w:lvl>
    <w:lvl w:ilvl="8" w:tplc="B14E7A56">
      <w:numFmt w:val="bullet"/>
      <w:lvlText w:val="•"/>
      <w:lvlJc w:val="left"/>
      <w:pPr>
        <w:ind w:left="7400" w:hanging="360"/>
      </w:pPr>
      <w:rPr>
        <w:rFonts w:hint="default"/>
      </w:rPr>
    </w:lvl>
  </w:abstractNum>
  <w:abstractNum w:abstractNumId="2" w15:restartNumberingAfterBreak="0">
    <w:nsid w:val="693A31B8"/>
    <w:multiLevelType w:val="hybridMultilevel"/>
    <w:tmpl w:val="4AF401EC"/>
    <w:lvl w:ilvl="0" w:tplc="100AB976">
      <w:start w:val="1"/>
      <w:numFmt w:val="upperLetter"/>
      <w:lvlText w:val="%1."/>
      <w:lvlJc w:val="left"/>
      <w:pPr>
        <w:ind w:left="218" w:hanging="310"/>
        <w:jc w:val="left"/>
      </w:pPr>
      <w:rPr>
        <w:rFonts w:ascii="Times New Roman" w:eastAsia="Times New Roman" w:hAnsi="Times New Roman" w:cs="Times New Roman" w:hint="default"/>
        <w:spacing w:val="-6"/>
        <w:w w:val="99"/>
        <w:sz w:val="24"/>
        <w:szCs w:val="24"/>
      </w:rPr>
    </w:lvl>
    <w:lvl w:ilvl="1" w:tplc="891ECDCC">
      <w:numFmt w:val="bullet"/>
      <w:lvlText w:val="•"/>
      <w:lvlJc w:val="left"/>
      <w:pPr>
        <w:ind w:left="1138" w:hanging="310"/>
      </w:pPr>
      <w:rPr>
        <w:rFonts w:hint="default"/>
      </w:rPr>
    </w:lvl>
    <w:lvl w:ilvl="2" w:tplc="C212A108">
      <w:numFmt w:val="bullet"/>
      <w:lvlText w:val="•"/>
      <w:lvlJc w:val="left"/>
      <w:pPr>
        <w:ind w:left="2057" w:hanging="310"/>
      </w:pPr>
      <w:rPr>
        <w:rFonts w:hint="default"/>
      </w:rPr>
    </w:lvl>
    <w:lvl w:ilvl="3" w:tplc="2A7A1890">
      <w:numFmt w:val="bullet"/>
      <w:lvlText w:val="•"/>
      <w:lvlJc w:val="left"/>
      <w:pPr>
        <w:ind w:left="2975" w:hanging="310"/>
      </w:pPr>
      <w:rPr>
        <w:rFonts w:hint="default"/>
      </w:rPr>
    </w:lvl>
    <w:lvl w:ilvl="4" w:tplc="CFAC6E8C">
      <w:numFmt w:val="bullet"/>
      <w:lvlText w:val="•"/>
      <w:lvlJc w:val="left"/>
      <w:pPr>
        <w:ind w:left="3894" w:hanging="310"/>
      </w:pPr>
      <w:rPr>
        <w:rFonts w:hint="default"/>
      </w:rPr>
    </w:lvl>
    <w:lvl w:ilvl="5" w:tplc="535C8206">
      <w:numFmt w:val="bullet"/>
      <w:lvlText w:val="•"/>
      <w:lvlJc w:val="left"/>
      <w:pPr>
        <w:ind w:left="4813" w:hanging="310"/>
      </w:pPr>
      <w:rPr>
        <w:rFonts w:hint="default"/>
      </w:rPr>
    </w:lvl>
    <w:lvl w:ilvl="6" w:tplc="B41C0758">
      <w:numFmt w:val="bullet"/>
      <w:lvlText w:val="•"/>
      <w:lvlJc w:val="left"/>
      <w:pPr>
        <w:ind w:left="5731" w:hanging="310"/>
      </w:pPr>
      <w:rPr>
        <w:rFonts w:hint="default"/>
      </w:rPr>
    </w:lvl>
    <w:lvl w:ilvl="7" w:tplc="0A68A112">
      <w:numFmt w:val="bullet"/>
      <w:lvlText w:val="•"/>
      <w:lvlJc w:val="left"/>
      <w:pPr>
        <w:ind w:left="6650" w:hanging="310"/>
      </w:pPr>
      <w:rPr>
        <w:rFonts w:hint="default"/>
      </w:rPr>
    </w:lvl>
    <w:lvl w:ilvl="8" w:tplc="B6D6E77C">
      <w:numFmt w:val="bullet"/>
      <w:lvlText w:val="•"/>
      <w:lvlJc w:val="left"/>
      <w:pPr>
        <w:ind w:left="7569" w:hanging="310"/>
      </w:pPr>
      <w:rPr>
        <w:rFonts w:hint="default"/>
      </w:rPr>
    </w:lvl>
  </w:abstractNum>
  <w:abstractNum w:abstractNumId="3" w15:restartNumberingAfterBreak="0">
    <w:nsid w:val="6FA01A20"/>
    <w:multiLevelType w:val="hybridMultilevel"/>
    <w:tmpl w:val="00C25DA8"/>
    <w:lvl w:ilvl="0" w:tplc="48B01334">
      <w:start w:val="1"/>
      <w:numFmt w:val="decimal"/>
      <w:lvlText w:val="%1."/>
      <w:lvlJc w:val="left"/>
      <w:pPr>
        <w:ind w:left="827" w:hanging="360"/>
        <w:jc w:val="left"/>
      </w:pPr>
      <w:rPr>
        <w:rFonts w:ascii="Times New Roman" w:eastAsia="Times New Roman" w:hAnsi="Times New Roman" w:cs="Times New Roman" w:hint="default"/>
        <w:w w:val="110"/>
        <w:sz w:val="24"/>
        <w:szCs w:val="24"/>
      </w:rPr>
    </w:lvl>
    <w:lvl w:ilvl="1" w:tplc="FA6CBD72">
      <w:numFmt w:val="bullet"/>
      <w:lvlText w:val="•"/>
      <w:lvlJc w:val="left"/>
      <w:pPr>
        <w:ind w:left="1642" w:hanging="360"/>
      </w:pPr>
      <w:rPr>
        <w:rFonts w:hint="default"/>
      </w:rPr>
    </w:lvl>
    <w:lvl w:ilvl="2" w:tplc="78B2A72A">
      <w:numFmt w:val="bullet"/>
      <w:lvlText w:val="•"/>
      <w:lvlJc w:val="left"/>
      <w:pPr>
        <w:ind w:left="2465" w:hanging="360"/>
      </w:pPr>
      <w:rPr>
        <w:rFonts w:hint="default"/>
      </w:rPr>
    </w:lvl>
    <w:lvl w:ilvl="3" w:tplc="79041F3C">
      <w:numFmt w:val="bullet"/>
      <w:lvlText w:val="•"/>
      <w:lvlJc w:val="left"/>
      <w:pPr>
        <w:ind w:left="3287" w:hanging="360"/>
      </w:pPr>
      <w:rPr>
        <w:rFonts w:hint="default"/>
      </w:rPr>
    </w:lvl>
    <w:lvl w:ilvl="4" w:tplc="92461CFE">
      <w:numFmt w:val="bullet"/>
      <w:lvlText w:val="•"/>
      <w:lvlJc w:val="left"/>
      <w:pPr>
        <w:ind w:left="4110" w:hanging="360"/>
      </w:pPr>
      <w:rPr>
        <w:rFonts w:hint="default"/>
      </w:rPr>
    </w:lvl>
    <w:lvl w:ilvl="5" w:tplc="9EB2ACCC">
      <w:numFmt w:val="bullet"/>
      <w:lvlText w:val="•"/>
      <w:lvlJc w:val="left"/>
      <w:pPr>
        <w:ind w:left="4932" w:hanging="360"/>
      </w:pPr>
      <w:rPr>
        <w:rFonts w:hint="default"/>
      </w:rPr>
    </w:lvl>
    <w:lvl w:ilvl="6" w:tplc="BA6EC546">
      <w:numFmt w:val="bullet"/>
      <w:lvlText w:val="•"/>
      <w:lvlJc w:val="left"/>
      <w:pPr>
        <w:ind w:left="5755" w:hanging="360"/>
      </w:pPr>
      <w:rPr>
        <w:rFonts w:hint="default"/>
      </w:rPr>
    </w:lvl>
    <w:lvl w:ilvl="7" w:tplc="B3623A00">
      <w:numFmt w:val="bullet"/>
      <w:lvlText w:val="•"/>
      <w:lvlJc w:val="left"/>
      <w:pPr>
        <w:ind w:left="6577" w:hanging="360"/>
      </w:pPr>
      <w:rPr>
        <w:rFonts w:hint="default"/>
      </w:rPr>
    </w:lvl>
    <w:lvl w:ilvl="8" w:tplc="93022798">
      <w:numFmt w:val="bullet"/>
      <w:lvlText w:val="•"/>
      <w:lvlJc w:val="left"/>
      <w:pPr>
        <w:ind w:left="7400" w:hanging="360"/>
      </w:pPr>
      <w:rPr>
        <w:rFonts w:hint="default"/>
      </w:rPr>
    </w:lvl>
  </w:abstractNum>
  <w:num w:numId="1" w16cid:durableId="1841196644">
    <w:abstractNumId w:val="3"/>
  </w:num>
  <w:num w:numId="2" w16cid:durableId="787429430">
    <w:abstractNumId w:val="0"/>
  </w:num>
  <w:num w:numId="3" w16cid:durableId="1570380183">
    <w:abstractNumId w:val="1"/>
  </w:num>
  <w:num w:numId="4" w16cid:durableId="1339429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548"/>
    <w:rsid w:val="00121598"/>
    <w:rsid w:val="0065099C"/>
    <w:rsid w:val="00844548"/>
    <w:rsid w:val="00E31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25AB2C"/>
  <w15:docId w15:val="{FEBD85B3-B421-4BEC-A1FB-A797D313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844548"/>
    <w:pPr>
      <w:widowControl w:val="0"/>
      <w:autoSpaceDE w:val="0"/>
      <w:autoSpaceDN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4548"/>
    <w:rPr>
      <w:sz w:val="24"/>
      <w:szCs w:val="24"/>
    </w:rPr>
  </w:style>
  <w:style w:type="character" w:customStyle="1" w:styleId="BodyTextChar">
    <w:name w:val="Body Text Char"/>
    <w:basedOn w:val="DefaultParagraphFont"/>
    <w:link w:val="BodyText"/>
    <w:uiPriority w:val="1"/>
    <w:rsid w:val="00844548"/>
    <w:rPr>
      <w:sz w:val="24"/>
      <w:szCs w:val="24"/>
      <w:lang w:val="en-US" w:eastAsia="en-US"/>
    </w:rPr>
  </w:style>
  <w:style w:type="paragraph" w:styleId="ListParagraph">
    <w:name w:val="List Paragraph"/>
    <w:basedOn w:val="Normal"/>
    <w:uiPriority w:val="1"/>
    <w:qFormat/>
    <w:rsid w:val="00844548"/>
    <w:pPr>
      <w:ind w:left="645" w:hanging="360"/>
    </w:pPr>
  </w:style>
  <w:style w:type="paragraph" w:customStyle="1" w:styleId="TableParagraph">
    <w:name w:val="Table Paragraph"/>
    <w:basedOn w:val="Normal"/>
    <w:uiPriority w:val="1"/>
    <w:qFormat/>
    <w:rsid w:val="00844548"/>
  </w:style>
  <w:style w:type="character" w:styleId="Hyperlink">
    <w:name w:val="Hyperlink"/>
    <w:basedOn w:val="DefaultParagraphFont"/>
    <w:rsid w:val="00844548"/>
    <w:rPr>
      <w:color w:val="0000FF" w:themeColor="hyperlink"/>
      <w:u w:val="single"/>
    </w:rPr>
  </w:style>
  <w:style w:type="paragraph" w:styleId="Header">
    <w:name w:val="header"/>
    <w:basedOn w:val="Normal"/>
    <w:link w:val="HeaderChar"/>
    <w:uiPriority w:val="99"/>
    <w:rsid w:val="00E31F27"/>
    <w:pPr>
      <w:tabs>
        <w:tab w:val="center" w:pos="4513"/>
        <w:tab w:val="right" w:pos="9026"/>
      </w:tabs>
    </w:pPr>
  </w:style>
  <w:style w:type="character" w:customStyle="1" w:styleId="HeaderChar">
    <w:name w:val="Header Char"/>
    <w:basedOn w:val="DefaultParagraphFont"/>
    <w:link w:val="Header"/>
    <w:uiPriority w:val="99"/>
    <w:rsid w:val="00E31F27"/>
    <w:rPr>
      <w:sz w:val="22"/>
      <w:szCs w:val="22"/>
      <w:lang w:val="en-US" w:eastAsia="en-US"/>
    </w:rPr>
  </w:style>
  <w:style w:type="paragraph" w:styleId="Footer">
    <w:name w:val="footer"/>
    <w:basedOn w:val="Normal"/>
    <w:link w:val="FooterChar"/>
    <w:rsid w:val="00E31F27"/>
    <w:pPr>
      <w:tabs>
        <w:tab w:val="center" w:pos="4513"/>
        <w:tab w:val="right" w:pos="9026"/>
      </w:tabs>
    </w:pPr>
  </w:style>
  <w:style w:type="character" w:customStyle="1" w:styleId="FooterChar">
    <w:name w:val="Footer Char"/>
    <w:basedOn w:val="DefaultParagraphFont"/>
    <w:link w:val="Footer"/>
    <w:rsid w:val="00E31F27"/>
    <w:rPr>
      <w:sz w:val="22"/>
      <w:szCs w:val="22"/>
      <w:lang w:val="en-US" w:eastAsia="en-US"/>
    </w:rPr>
  </w:style>
  <w:style w:type="paragraph" w:styleId="BalloonText">
    <w:name w:val="Balloon Text"/>
    <w:basedOn w:val="Normal"/>
    <w:link w:val="BalloonTextChar"/>
    <w:rsid w:val="00E31F27"/>
    <w:rPr>
      <w:rFonts w:ascii="Tahoma" w:hAnsi="Tahoma" w:cs="Tahoma"/>
      <w:sz w:val="16"/>
      <w:szCs w:val="16"/>
    </w:rPr>
  </w:style>
  <w:style w:type="character" w:customStyle="1" w:styleId="BalloonTextChar">
    <w:name w:val="Balloon Text Char"/>
    <w:basedOn w:val="DefaultParagraphFont"/>
    <w:link w:val="BalloonText"/>
    <w:rsid w:val="00E31F2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csg8" TargetMode="External"/><Relationship Id="rId3" Type="http://schemas.openxmlformats.org/officeDocument/2006/relationships/settings" Target="settings.xml"/><Relationship Id="rId7" Type="http://schemas.openxmlformats.org/officeDocument/2006/relationships/hyperlink" Target="https://www.aomrc.org.uk/ebi/wp-content/uploads/2021/05/ebi-statutory-guida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ce.org.uk/guidance/ng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Hall - Senior Contracts Manager</dc:creator>
  <cp:lastModifiedBy>HALL, Karen (FRIMLEY HEALTH NHS FOUNDATION TRUST)</cp:lastModifiedBy>
  <cp:revision>2</cp:revision>
  <dcterms:created xsi:type="dcterms:W3CDTF">2023-02-22T10:28:00Z</dcterms:created>
  <dcterms:modified xsi:type="dcterms:W3CDTF">2023-02-22T10:28:00Z</dcterms:modified>
</cp:coreProperties>
</file>