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71FC8" w14:textId="77777777" w:rsidR="002E12FF" w:rsidRPr="00325037" w:rsidRDefault="002E12FF" w:rsidP="002E12FF">
      <w:pPr>
        <w:rPr>
          <w:rFonts w:ascii="Arial" w:hAnsi="Arial" w:cs="Arial"/>
          <w:i/>
          <w:iCs/>
          <w:sz w:val="18"/>
          <w:szCs w:val="18"/>
        </w:rPr>
      </w:pPr>
    </w:p>
    <w:p w14:paraId="46A71FC9" w14:textId="3687FD41" w:rsidR="002E12FF" w:rsidRPr="00325037" w:rsidRDefault="002E12FF" w:rsidP="002E12FF">
      <w:pPr>
        <w:rPr>
          <w:rFonts w:ascii="Arial" w:hAnsi="Arial" w:cs="Arial"/>
          <w:i/>
          <w:sz w:val="18"/>
          <w:szCs w:val="20"/>
        </w:rPr>
      </w:pPr>
      <w:r w:rsidRPr="00325037">
        <w:rPr>
          <w:rFonts w:ascii="Arial" w:hAnsi="Arial" w:cs="Arial"/>
          <w:i/>
          <w:iCs/>
          <w:sz w:val="18"/>
          <w:szCs w:val="18"/>
        </w:rPr>
        <w:t>Extract from the below named document for ICS Implementation purposes</w:t>
      </w:r>
      <w:r w:rsidR="0069260D" w:rsidRPr="00325037">
        <w:rPr>
          <w:rFonts w:ascii="Arial" w:hAnsi="Arial" w:cs="Arial"/>
          <w:i/>
          <w:iCs/>
          <w:sz w:val="18"/>
          <w:szCs w:val="18"/>
        </w:rPr>
        <w:t xml:space="preserve">; </w:t>
      </w:r>
      <w:hyperlink r:id="rId7" w:history="1">
        <w:r w:rsidR="00325037" w:rsidRPr="00325037">
          <w:rPr>
            <w:rStyle w:val="Hyperlink"/>
            <w:rFonts w:ascii="Arial" w:hAnsi="Arial" w:cs="Arial"/>
            <w:i/>
            <w:iCs/>
            <w:sz w:val="18"/>
            <w:szCs w:val="18"/>
          </w:rPr>
          <w:t>Microsoft Word - EBI consultation response statutory guidance 11 Jan 2019 FINAL v2.0 CLEAN + cover sheet.docx (aomrc.org.uk)</w:t>
        </w:r>
      </w:hyperlink>
      <w:hyperlink r:id="rId8" w:history="1"/>
      <w:r w:rsidRPr="00325037">
        <w:rPr>
          <w:rFonts w:ascii="Arial" w:hAnsi="Arial" w:cs="Arial"/>
          <w:i/>
          <w:sz w:val="18"/>
          <w:szCs w:val="20"/>
        </w:rPr>
        <w:t xml:space="preserve"> </w:t>
      </w:r>
    </w:p>
    <w:p w14:paraId="46A71FCA" w14:textId="77777777" w:rsidR="002E12FF" w:rsidRPr="00325037" w:rsidRDefault="002E12FF" w:rsidP="002E12FF">
      <w:pPr>
        <w:jc w:val="center"/>
        <w:rPr>
          <w:rFonts w:ascii="Arial" w:hAnsi="Arial" w:cs="Arial"/>
          <w:szCs w:val="20"/>
        </w:rPr>
      </w:pPr>
      <w:r w:rsidRPr="00325037">
        <w:rPr>
          <w:rFonts w:ascii="Arial" w:hAnsi="Arial" w:cs="Arial"/>
          <w:szCs w:val="20"/>
        </w:rPr>
        <w:softHyphen/>
      </w:r>
      <w:r w:rsidRPr="00325037">
        <w:rPr>
          <w:rFonts w:ascii="Arial" w:hAnsi="Arial" w:cs="Arial"/>
          <w:szCs w:val="20"/>
        </w:rPr>
        <w:softHyphen/>
      </w:r>
      <w:r w:rsidRPr="00325037">
        <w:rPr>
          <w:rFonts w:ascii="Arial" w:hAnsi="Arial" w:cs="Arial"/>
          <w:szCs w:val="20"/>
        </w:rPr>
        <w:softHyphen/>
      </w:r>
      <w:r w:rsidRPr="00325037">
        <w:rPr>
          <w:rFonts w:ascii="Arial" w:hAnsi="Arial" w:cs="Arial"/>
          <w:szCs w:val="20"/>
        </w:rPr>
        <w:softHyphen/>
      </w:r>
      <w:r w:rsidRPr="00325037">
        <w:rPr>
          <w:rFonts w:ascii="Arial" w:hAnsi="Arial" w:cs="Arial"/>
          <w:szCs w:val="20"/>
        </w:rPr>
        <w:softHyphen/>
      </w:r>
      <w:r w:rsidRPr="00325037">
        <w:rPr>
          <w:rFonts w:ascii="Arial" w:hAnsi="Arial" w:cs="Arial"/>
          <w:szCs w:val="20"/>
        </w:rPr>
        <w:softHyphen/>
      </w:r>
      <w:r w:rsidRPr="00325037">
        <w:rPr>
          <w:rFonts w:ascii="Arial" w:hAnsi="Arial" w:cs="Arial"/>
          <w:szCs w:val="20"/>
        </w:rPr>
        <w:softHyphen/>
      </w:r>
      <w:r w:rsidRPr="00325037">
        <w:rPr>
          <w:rFonts w:ascii="Arial" w:hAnsi="Arial" w:cs="Arial"/>
          <w:szCs w:val="20"/>
        </w:rPr>
        <w:softHyphen/>
        <w:t>________________________________________________________________</w:t>
      </w:r>
    </w:p>
    <w:p w14:paraId="46A71FCB" w14:textId="77777777" w:rsidR="002E12FF" w:rsidRPr="00325037" w:rsidRDefault="002E12FF" w:rsidP="002E12FF">
      <w:pPr>
        <w:rPr>
          <w:rFonts w:ascii="Arial" w:hAnsi="Arial" w:cs="Arial"/>
          <w:sz w:val="20"/>
          <w:szCs w:val="20"/>
        </w:rPr>
      </w:pPr>
    </w:p>
    <w:p w14:paraId="46A71FCC" w14:textId="77777777" w:rsidR="00887F0F" w:rsidRPr="00325037" w:rsidRDefault="0027770E" w:rsidP="002E12FF">
      <w:pPr>
        <w:rPr>
          <w:rFonts w:ascii="Arial" w:hAnsi="Arial" w:cs="Arial"/>
          <w:b/>
          <w:bCs/>
          <w:sz w:val="20"/>
          <w:szCs w:val="20"/>
        </w:rPr>
      </w:pPr>
      <w:r w:rsidRPr="00325037">
        <w:rPr>
          <w:rFonts w:ascii="Arial" w:hAnsi="Arial" w:cs="Arial"/>
          <w:b/>
          <w:bCs/>
          <w:sz w:val="20"/>
          <w:szCs w:val="20"/>
        </w:rPr>
        <w:t>Injections for nonspecific low back pain without sciatica</w:t>
      </w:r>
    </w:p>
    <w:p w14:paraId="46A71FCD" w14:textId="77777777" w:rsidR="00887F0F" w:rsidRPr="00325037" w:rsidRDefault="00887F0F" w:rsidP="002E12FF">
      <w:pPr>
        <w:rPr>
          <w:rFonts w:ascii="Arial" w:hAnsi="Arial" w:cs="Arial"/>
          <w:sz w:val="20"/>
          <w:szCs w:val="20"/>
        </w:rPr>
      </w:pPr>
    </w:p>
    <w:p w14:paraId="46A71FCE" w14:textId="77777777" w:rsidR="0027770E" w:rsidRPr="00325037" w:rsidRDefault="0027770E" w:rsidP="002E12FF">
      <w:pPr>
        <w:rPr>
          <w:rFonts w:ascii="Arial" w:hAnsi="Arial" w:cs="Arial"/>
          <w:sz w:val="20"/>
          <w:szCs w:val="20"/>
        </w:rPr>
      </w:pPr>
      <w:r w:rsidRPr="00325037">
        <w:rPr>
          <w:rFonts w:ascii="Arial" w:hAnsi="Arial" w:cs="Arial"/>
          <w:sz w:val="20"/>
          <w:szCs w:val="20"/>
        </w:rPr>
        <w:t>Updated description of the intervention</w:t>
      </w:r>
    </w:p>
    <w:p w14:paraId="46A71FCF" w14:textId="77777777" w:rsidR="00887F0F" w:rsidRPr="00325037" w:rsidRDefault="00887F0F" w:rsidP="002E12FF">
      <w:pPr>
        <w:rPr>
          <w:rFonts w:ascii="Arial" w:hAnsi="Arial" w:cs="Arial"/>
          <w:sz w:val="20"/>
          <w:szCs w:val="20"/>
        </w:rPr>
      </w:pPr>
    </w:p>
    <w:p w14:paraId="46A71FD0" w14:textId="77777777" w:rsidR="0027770E" w:rsidRPr="00325037" w:rsidRDefault="0027770E" w:rsidP="002E12FF">
      <w:pPr>
        <w:rPr>
          <w:rFonts w:ascii="Arial" w:hAnsi="Arial" w:cs="Arial"/>
          <w:sz w:val="20"/>
          <w:szCs w:val="20"/>
        </w:rPr>
      </w:pPr>
      <w:r w:rsidRPr="00325037">
        <w:rPr>
          <w:rFonts w:ascii="Arial" w:hAnsi="Arial" w:cs="Arial"/>
          <w:sz w:val="20"/>
          <w:szCs w:val="20"/>
        </w:rPr>
        <w:t>NICE recommends that spinal injections should not be offered for non-specific low back pain. Alternative options like pain management and physiotherapy have been shown to work11.</w:t>
      </w:r>
    </w:p>
    <w:p w14:paraId="46A71FD1" w14:textId="77777777" w:rsidR="0027770E" w:rsidRPr="00325037" w:rsidRDefault="0027770E" w:rsidP="002E12FF">
      <w:pPr>
        <w:rPr>
          <w:rFonts w:ascii="Arial" w:hAnsi="Arial" w:cs="Arial"/>
          <w:sz w:val="20"/>
          <w:szCs w:val="20"/>
        </w:rPr>
      </w:pPr>
    </w:p>
    <w:p w14:paraId="46A71FD2" w14:textId="77777777" w:rsidR="0027770E" w:rsidRPr="00325037" w:rsidRDefault="0027770E" w:rsidP="002E12FF">
      <w:pPr>
        <w:rPr>
          <w:rFonts w:ascii="Arial" w:hAnsi="Arial" w:cs="Arial"/>
          <w:sz w:val="20"/>
          <w:szCs w:val="20"/>
        </w:rPr>
      </w:pPr>
      <w:r w:rsidRPr="00325037">
        <w:rPr>
          <w:rFonts w:ascii="Arial" w:hAnsi="Arial" w:cs="Arial"/>
          <w:sz w:val="20"/>
          <w:szCs w:val="20"/>
        </w:rPr>
        <w:t>Updated clinical criteria</w:t>
      </w:r>
    </w:p>
    <w:p w14:paraId="46A71FD3" w14:textId="77777777" w:rsidR="0027770E" w:rsidRPr="00325037" w:rsidRDefault="0027770E" w:rsidP="002E12FF">
      <w:pPr>
        <w:rPr>
          <w:rFonts w:ascii="Arial" w:hAnsi="Arial" w:cs="Arial"/>
          <w:sz w:val="20"/>
          <w:szCs w:val="20"/>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0"/>
      </w:tblGrid>
      <w:tr w:rsidR="0027770E" w:rsidRPr="00325037" w14:paraId="46A71FD5" w14:textId="77777777" w:rsidTr="00325037">
        <w:trPr>
          <w:trHeight w:val="275"/>
        </w:trPr>
        <w:tc>
          <w:tcPr>
            <w:tcW w:w="10490" w:type="dxa"/>
            <w:shd w:val="clear" w:color="auto" w:fill="16365D"/>
          </w:tcPr>
          <w:p w14:paraId="46A71FD4" w14:textId="77777777" w:rsidR="0027770E" w:rsidRPr="00325037" w:rsidRDefault="0027770E" w:rsidP="002E12FF">
            <w:pPr>
              <w:rPr>
                <w:rFonts w:ascii="Arial" w:hAnsi="Arial" w:cs="Arial"/>
                <w:sz w:val="20"/>
                <w:szCs w:val="20"/>
              </w:rPr>
            </w:pPr>
            <w:r w:rsidRPr="00325037">
              <w:rPr>
                <w:rFonts w:ascii="Arial" w:hAnsi="Arial" w:cs="Arial"/>
                <w:sz w:val="20"/>
                <w:szCs w:val="20"/>
              </w:rPr>
              <w:t>Summary of intervention</w:t>
            </w:r>
          </w:p>
        </w:tc>
      </w:tr>
      <w:tr w:rsidR="0027770E" w:rsidRPr="00325037" w14:paraId="46A71FD7" w14:textId="77777777" w:rsidTr="00325037">
        <w:trPr>
          <w:trHeight w:val="553"/>
        </w:trPr>
        <w:tc>
          <w:tcPr>
            <w:tcW w:w="10490" w:type="dxa"/>
          </w:tcPr>
          <w:p w14:paraId="46A71FD6" w14:textId="77777777" w:rsidR="0027770E" w:rsidRPr="00325037" w:rsidRDefault="0027770E" w:rsidP="002E12FF">
            <w:pPr>
              <w:rPr>
                <w:rFonts w:ascii="Arial" w:hAnsi="Arial" w:cs="Arial"/>
                <w:sz w:val="20"/>
                <w:szCs w:val="20"/>
              </w:rPr>
            </w:pPr>
            <w:r w:rsidRPr="00325037">
              <w:rPr>
                <w:rFonts w:ascii="Arial" w:hAnsi="Arial" w:cs="Arial"/>
                <w:sz w:val="20"/>
                <w:szCs w:val="20"/>
              </w:rPr>
              <w:t xml:space="preserve">Spinal injections of local </w:t>
            </w:r>
            <w:proofErr w:type="spellStart"/>
            <w:r w:rsidRPr="00325037">
              <w:rPr>
                <w:rFonts w:ascii="Arial" w:hAnsi="Arial" w:cs="Arial"/>
                <w:sz w:val="20"/>
                <w:szCs w:val="20"/>
              </w:rPr>
              <w:t>anaesthetic</w:t>
            </w:r>
            <w:proofErr w:type="spellEnd"/>
            <w:r w:rsidRPr="00325037">
              <w:rPr>
                <w:rFonts w:ascii="Arial" w:hAnsi="Arial" w:cs="Arial"/>
                <w:sz w:val="20"/>
                <w:szCs w:val="20"/>
              </w:rPr>
              <w:t xml:space="preserve"> and steroid in people with non-specific low back pain without sciatica.</w:t>
            </w:r>
          </w:p>
        </w:tc>
      </w:tr>
      <w:tr w:rsidR="0027770E" w:rsidRPr="00325037" w14:paraId="46A71FD9" w14:textId="77777777" w:rsidTr="00325037">
        <w:trPr>
          <w:trHeight w:val="275"/>
        </w:trPr>
        <w:tc>
          <w:tcPr>
            <w:tcW w:w="10490" w:type="dxa"/>
            <w:shd w:val="clear" w:color="auto" w:fill="16365D"/>
          </w:tcPr>
          <w:p w14:paraId="46A71FD8" w14:textId="77777777" w:rsidR="0027770E" w:rsidRPr="00325037" w:rsidRDefault="0027770E" w:rsidP="002E12FF">
            <w:pPr>
              <w:rPr>
                <w:rFonts w:ascii="Arial" w:hAnsi="Arial" w:cs="Arial"/>
                <w:sz w:val="20"/>
                <w:szCs w:val="20"/>
              </w:rPr>
            </w:pPr>
            <w:r w:rsidRPr="00325037">
              <w:rPr>
                <w:rFonts w:ascii="Arial" w:hAnsi="Arial" w:cs="Arial"/>
                <w:sz w:val="20"/>
                <w:szCs w:val="20"/>
              </w:rPr>
              <w:t>Number of CCG interventions in 2017/18</w:t>
            </w:r>
          </w:p>
        </w:tc>
      </w:tr>
      <w:tr w:rsidR="0027770E" w:rsidRPr="00325037" w14:paraId="46A71FDB" w14:textId="77777777" w:rsidTr="00325037">
        <w:trPr>
          <w:trHeight w:val="267"/>
        </w:trPr>
        <w:tc>
          <w:tcPr>
            <w:tcW w:w="10490" w:type="dxa"/>
          </w:tcPr>
          <w:p w14:paraId="46A71FDA" w14:textId="77777777" w:rsidR="0027770E" w:rsidRPr="00325037" w:rsidRDefault="0027770E" w:rsidP="002E12FF">
            <w:pPr>
              <w:rPr>
                <w:rFonts w:ascii="Arial" w:hAnsi="Arial" w:cs="Arial"/>
                <w:sz w:val="20"/>
                <w:szCs w:val="20"/>
              </w:rPr>
            </w:pPr>
            <w:r w:rsidRPr="00325037">
              <w:rPr>
                <w:rFonts w:ascii="Arial" w:hAnsi="Arial" w:cs="Arial"/>
                <w:sz w:val="20"/>
                <w:szCs w:val="20"/>
              </w:rPr>
              <w:t>13,165</w:t>
            </w:r>
          </w:p>
        </w:tc>
      </w:tr>
      <w:tr w:rsidR="0027770E" w:rsidRPr="00325037" w14:paraId="46A71FDD" w14:textId="77777777" w:rsidTr="00325037">
        <w:trPr>
          <w:trHeight w:val="275"/>
        </w:trPr>
        <w:tc>
          <w:tcPr>
            <w:tcW w:w="10490" w:type="dxa"/>
            <w:shd w:val="clear" w:color="auto" w:fill="16365D"/>
          </w:tcPr>
          <w:p w14:paraId="46A71FDC" w14:textId="77777777" w:rsidR="0027770E" w:rsidRPr="00325037" w:rsidRDefault="0027770E" w:rsidP="002E12FF">
            <w:pPr>
              <w:rPr>
                <w:rFonts w:ascii="Arial" w:hAnsi="Arial" w:cs="Arial"/>
                <w:sz w:val="20"/>
                <w:szCs w:val="20"/>
              </w:rPr>
            </w:pPr>
            <w:r w:rsidRPr="00325037">
              <w:rPr>
                <w:rFonts w:ascii="Arial" w:hAnsi="Arial" w:cs="Arial"/>
                <w:sz w:val="20"/>
                <w:szCs w:val="20"/>
              </w:rPr>
              <w:t>Recommendation</w:t>
            </w:r>
          </w:p>
        </w:tc>
      </w:tr>
      <w:tr w:rsidR="0027770E" w:rsidRPr="00325037" w14:paraId="46A71FF2" w14:textId="77777777" w:rsidTr="00325037">
        <w:trPr>
          <w:trHeight w:val="412"/>
        </w:trPr>
        <w:tc>
          <w:tcPr>
            <w:tcW w:w="10490" w:type="dxa"/>
          </w:tcPr>
          <w:p w14:paraId="46A71FDE" w14:textId="77777777" w:rsidR="0027770E" w:rsidRPr="00325037" w:rsidRDefault="0027770E" w:rsidP="002E12FF">
            <w:pPr>
              <w:rPr>
                <w:rFonts w:ascii="Arial" w:hAnsi="Arial" w:cs="Arial"/>
                <w:sz w:val="20"/>
                <w:szCs w:val="20"/>
              </w:rPr>
            </w:pPr>
            <w:r w:rsidRPr="00325037">
              <w:rPr>
                <w:rFonts w:ascii="Arial" w:hAnsi="Arial" w:cs="Arial"/>
                <w:sz w:val="20"/>
                <w:szCs w:val="20"/>
              </w:rPr>
              <w:t xml:space="preserve">Spinal injections of local </w:t>
            </w:r>
            <w:proofErr w:type="spellStart"/>
            <w:r w:rsidRPr="00325037">
              <w:rPr>
                <w:rFonts w:ascii="Arial" w:hAnsi="Arial" w:cs="Arial"/>
                <w:sz w:val="20"/>
                <w:szCs w:val="20"/>
              </w:rPr>
              <w:t>anaesthetic</w:t>
            </w:r>
            <w:proofErr w:type="spellEnd"/>
            <w:r w:rsidRPr="00325037">
              <w:rPr>
                <w:rFonts w:ascii="Arial" w:hAnsi="Arial" w:cs="Arial"/>
                <w:sz w:val="20"/>
                <w:szCs w:val="20"/>
              </w:rPr>
              <w:t xml:space="preserve"> and steroid should not be offered for patients with non-specific low back pain.</w:t>
            </w:r>
          </w:p>
          <w:p w14:paraId="46A71FDF" w14:textId="77777777" w:rsidR="0027770E" w:rsidRPr="00325037" w:rsidRDefault="0027770E" w:rsidP="002E12FF">
            <w:pPr>
              <w:rPr>
                <w:rFonts w:ascii="Arial" w:hAnsi="Arial" w:cs="Arial"/>
                <w:sz w:val="20"/>
                <w:szCs w:val="20"/>
              </w:rPr>
            </w:pPr>
          </w:p>
          <w:p w14:paraId="46A71FE0" w14:textId="77777777" w:rsidR="0027770E" w:rsidRPr="00325037" w:rsidRDefault="0027770E" w:rsidP="002E12FF">
            <w:pPr>
              <w:rPr>
                <w:rFonts w:ascii="Arial" w:hAnsi="Arial" w:cs="Arial"/>
                <w:sz w:val="20"/>
                <w:szCs w:val="20"/>
              </w:rPr>
            </w:pPr>
            <w:r w:rsidRPr="00325037">
              <w:rPr>
                <w:rFonts w:ascii="Arial" w:hAnsi="Arial" w:cs="Arial"/>
                <w:sz w:val="20"/>
                <w:szCs w:val="20"/>
              </w:rPr>
              <w:t>For people with non-specific low back pain the following injections should not be offered:</w:t>
            </w:r>
          </w:p>
          <w:p w14:paraId="46A71FE1" w14:textId="77777777" w:rsidR="0027770E" w:rsidRPr="00325037" w:rsidRDefault="0027770E" w:rsidP="002E12FF">
            <w:pPr>
              <w:rPr>
                <w:rFonts w:ascii="Arial" w:hAnsi="Arial" w:cs="Arial"/>
                <w:sz w:val="20"/>
                <w:szCs w:val="20"/>
              </w:rPr>
            </w:pPr>
            <w:r w:rsidRPr="00325037">
              <w:rPr>
                <w:rFonts w:ascii="Arial" w:hAnsi="Arial" w:cs="Arial"/>
                <w:sz w:val="20"/>
                <w:szCs w:val="20"/>
              </w:rPr>
              <w:t>facet joint injections</w:t>
            </w:r>
          </w:p>
          <w:p w14:paraId="46A71FE2" w14:textId="77777777" w:rsidR="0027770E" w:rsidRPr="00325037" w:rsidRDefault="0027770E" w:rsidP="002E12FF">
            <w:pPr>
              <w:rPr>
                <w:rFonts w:ascii="Arial" w:hAnsi="Arial" w:cs="Arial"/>
                <w:sz w:val="20"/>
                <w:szCs w:val="20"/>
              </w:rPr>
            </w:pPr>
            <w:r w:rsidRPr="00325037">
              <w:rPr>
                <w:rFonts w:ascii="Arial" w:hAnsi="Arial" w:cs="Arial"/>
                <w:sz w:val="20"/>
                <w:szCs w:val="20"/>
              </w:rPr>
              <w:t xml:space="preserve">therapeutic </w:t>
            </w:r>
            <w:proofErr w:type="spellStart"/>
            <w:r w:rsidRPr="00325037">
              <w:rPr>
                <w:rFonts w:ascii="Arial" w:hAnsi="Arial" w:cs="Arial"/>
                <w:sz w:val="20"/>
                <w:szCs w:val="20"/>
              </w:rPr>
              <w:t>medial</w:t>
            </w:r>
            <w:proofErr w:type="spellEnd"/>
            <w:r w:rsidRPr="00325037">
              <w:rPr>
                <w:rFonts w:ascii="Arial" w:hAnsi="Arial" w:cs="Arial"/>
                <w:sz w:val="20"/>
                <w:szCs w:val="20"/>
              </w:rPr>
              <w:t xml:space="preserve"> branch blocks</w:t>
            </w:r>
          </w:p>
          <w:p w14:paraId="46A71FE3" w14:textId="77777777" w:rsidR="0027770E" w:rsidRPr="00325037" w:rsidRDefault="0027770E" w:rsidP="002E12FF">
            <w:pPr>
              <w:rPr>
                <w:rFonts w:ascii="Arial" w:hAnsi="Arial" w:cs="Arial"/>
                <w:sz w:val="20"/>
                <w:szCs w:val="20"/>
              </w:rPr>
            </w:pPr>
            <w:r w:rsidRPr="00325037">
              <w:rPr>
                <w:rFonts w:ascii="Arial" w:hAnsi="Arial" w:cs="Arial"/>
                <w:sz w:val="20"/>
                <w:szCs w:val="20"/>
              </w:rPr>
              <w:t>intradiscal therapy</w:t>
            </w:r>
          </w:p>
          <w:p w14:paraId="46A71FE4" w14:textId="77777777" w:rsidR="0027770E" w:rsidRPr="00325037" w:rsidRDefault="0027770E" w:rsidP="002E12FF">
            <w:pPr>
              <w:rPr>
                <w:rFonts w:ascii="Arial" w:hAnsi="Arial" w:cs="Arial"/>
                <w:sz w:val="20"/>
                <w:szCs w:val="20"/>
              </w:rPr>
            </w:pPr>
            <w:r w:rsidRPr="00325037">
              <w:rPr>
                <w:rFonts w:ascii="Arial" w:hAnsi="Arial" w:cs="Arial"/>
                <w:sz w:val="20"/>
                <w:szCs w:val="20"/>
              </w:rPr>
              <w:t>prolotherapy</w:t>
            </w:r>
          </w:p>
          <w:p w14:paraId="46A71FE5" w14:textId="77777777" w:rsidR="0027770E" w:rsidRPr="00325037" w:rsidRDefault="0027770E" w:rsidP="002E12FF">
            <w:pPr>
              <w:rPr>
                <w:rFonts w:ascii="Arial" w:hAnsi="Arial" w:cs="Arial"/>
                <w:sz w:val="20"/>
                <w:szCs w:val="20"/>
              </w:rPr>
            </w:pPr>
            <w:r w:rsidRPr="00325037">
              <w:rPr>
                <w:rFonts w:ascii="Arial" w:hAnsi="Arial" w:cs="Arial"/>
                <w:sz w:val="20"/>
                <w:szCs w:val="20"/>
              </w:rPr>
              <w:t>Trigger point injections with any agent, including botulinum toxin</w:t>
            </w:r>
          </w:p>
          <w:p w14:paraId="46A71FE6" w14:textId="77777777" w:rsidR="0027770E" w:rsidRPr="00325037" w:rsidRDefault="0027770E" w:rsidP="002E12FF">
            <w:pPr>
              <w:rPr>
                <w:rFonts w:ascii="Arial" w:hAnsi="Arial" w:cs="Arial"/>
                <w:sz w:val="20"/>
                <w:szCs w:val="20"/>
              </w:rPr>
            </w:pPr>
            <w:r w:rsidRPr="00325037">
              <w:rPr>
                <w:rFonts w:ascii="Arial" w:hAnsi="Arial" w:cs="Arial"/>
                <w:sz w:val="20"/>
                <w:szCs w:val="20"/>
              </w:rPr>
              <w:t>Epidural steroid injections for chronic low back pain or for neurogenic claudication in patients with central spinal canal stenosis</w:t>
            </w:r>
          </w:p>
          <w:p w14:paraId="46A71FE7" w14:textId="77777777" w:rsidR="0027770E" w:rsidRPr="00325037" w:rsidRDefault="0027770E" w:rsidP="002E12FF">
            <w:pPr>
              <w:rPr>
                <w:rFonts w:ascii="Arial" w:hAnsi="Arial" w:cs="Arial"/>
                <w:sz w:val="20"/>
                <w:szCs w:val="20"/>
              </w:rPr>
            </w:pPr>
            <w:r w:rsidRPr="00325037">
              <w:rPr>
                <w:rFonts w:ascii="Arial" w:hAnsi="Arial" w:cs="Arial"/>
                <w:sz w:val="20"/>
                <w:szCs w:val="20"/>
              </w:rPr>
              <w:t>Any other spinal injections not specifically covered above</w:t>
            </w:r>
          </w:p>
          <w:p w14:paraId="46A71FE8" w14:textId="77777777" w:rsidR="0027770E" w:rsidRPr="00325037" w:rsidRDefault="0027770E" w:rsidP="002E12FF">
            <w:pPr>
              <w:rPr>
                <w:rFonts w:ascii="Arial" w:hAnsi="Arial" w:cs="Arial"/>
                <w:sz w:val="20"/>
                <w:szCs w:val="20"/>
              </w:rPr>
            </w:pPr>
          </w:p>
          <w:p w14:paraId="46A71FE9" w14:textId="77777777" w:rsidR="0027770E" w:rsidRPr="00325037" w:rsidRDefault="0027770E" w:rsidP="002E12FF">
            <w:pPr>
              <w:rPr>
                <w:rFonts w:ascii="Arial" w:hAnsi="Arial" w:cs="Arial"/>
                <w:sz w:val="20"/>
                <w:szCs w:val="20"/>
              </w:rPr>
            </w:pPr>
            <w:r w:rsidRPr="00325037">
              <w:rPr>
                <w:rFonts w:ascii="Arial" w:hAnsi="Arial" w:cs="Arial"/>
                <w:sz w:val="20"/>
                <w:szCs w:val="20"/>
              </w:rPr>
              <w:t xml:space="preserve">Radiofrequency denervation can be offered according to NICE guideline (NG59) </w:t>
            </w:r>
            <w:proofErr w:type="gramStart"/>
            <w:r w:rsidRPr="00325037">
              <w:rPr>
                <w:rFonts w:ascii="Arial" w:hAnsi="Arial" w:cs="Arial"/>
                <w:sz w:val="20"/>
                <w:szCs w:val="20"/>
              </w:rPr>
              <w:t>if  all</w:t>
            </w:r>
            <w:proofErr w:type="gramEnd"/>
            <w:r w:rsidRPr="00325037">
              <w:rPr>
                <w:rFonts w:ascii="Arial" w:hAnsi="Arial" w:cs="Arial"/>
                <w:sz w:val="20"/>
                <w:szCs w:val="20"/>
              </w:rPr>
              <w:t xml:space="preserve"> non-surgical and alternative  treatments have  been  tried  and  there  is  moderate to severe chronic pain that has improved in response to diagnostic medical branch block.</w:t>
            </w:r>
          </w:p>
          <w:p w14:paraId="46A71FEA" w14:textId="77777777" w:rsidR="0027770E" w:rsidRPr="00325037" w:rsidRDefault="0027770E" w:rsidP="002E12FF">
            <w:pPr>
              <w:rPr>
                <w:rFonts w:ascii="Arial" w:hAnsi="Arial" w:cs="Arial"/>
                <w:sz w:val="20"/>
                <w:szCs w:val="20"/>
              </w:rPr>
            </w:pPr>
          </w:p>
          <w:p w14:paraId="46A71FEB" w14:textId="77777777" w:rsidR="0027770E" w:rsidRPr="00325037" w:rsidRDefault="0027770E" w:rsidP="002E12FF">
            <w:pPr>
              <w:rPr>
                <w:rFonts w:ascii="Arial" w:hAnsi="Arial" w:cs="Arial"/>
                <w:sz w:val="20"/>
                <w:szCs w:val="20"/>
              </w:rPr>
            </w:pPr>
            <w:r w:rsidRPr="00325037">
              <w:rPr>
                <w:rFonts w:ascii="Arial" w:hAnsi="Arial" w:cs="Arial"/>
                <w:sz w:val="20"/>
                <w:szCs w:val="20"/>
              </w:rPr>
              <w:t xml:space="preserve">Epidurals (local </w:t>
            </w:r>
            <w:proofErr w:type="spellStart"/>
            <w:r w:rsidRPr="00325037">
              <w:rPr>
                <w:rFonts w:ascii="Arial" w:hAnsi="Arial" w:cs="Arial"/>
                <w:sz w:val="20"/>
                <w:szCs w:val="20"/>
              </w:rPr>
              <w:t>anaesthetic</w:t>
            </w:r>
            <w:proofErr w:type="spellEnd"/>
            <w:r w:rsidRPr="00325037">
              <w:rPr>
                <w:rFonts w:ascii="Arial" w:hAnsi="Arial" w:cs="Arial"/>
                <w:sz w:val="20"/>
                <w:szCs w:val="20"/>
              </w:rPr>
              <w:t xml:space="preserve"> and steroid) should be considered in patients who have acute and severe lumbar radiculopathy at time of referral.</w:t>
            </w:r>
          </w:p>
          <w:p w14:paraId="46A71FEC" w14:textId="77777777" w:rsidR="0027770E" w:rsidRPr="00325037" w:rsidRDefault="0027770E" w:rsidP="002E12FF">
            <w:pPr>
              <w:rPr>
                <w:rFonts w:ascii="Arial" w:hAnsi="Arial" w:cs="Arial"/>
                <w:sz w:val="20"/>
                <w:szCs w:val="20"/>
              </w:rPr>
            </w:pPr>
          </w:p>
          <w:p w14:paraId="46A71FED" w14:textId="77777777" w:rsidR="0027770E" w:rsidRPr="00325037" w:rsidRDefault="0027770E" w:rsidP="002E12FF">
            <w:pPr>
              <w:rPr>
                <w:rFonts w:ascii="Arial" w:hAnsi="Arial" w:cs="Arial"/>
                <w:sz w:val="20"/>
                <w:szCs w:val="20"/>
              </w:rPr>
            </w:pPr>
            <w:r w:rsidRPr="00325037">
              <w:rPr>
                <w:rFonts w:ascii="Arial" w:hAnsi="Arial" w:cs="Arial"/>
                <w:sz w:val="20"/>
                <w:szCs w:val="20"/>
              </w:rPr>
              <w:t xml:space="preserve">Alternative and less invasive options have been shown to work e.g. exercise </w:t>
            </w:r>
            <w:proofErr w:type="spellStart"/>
            <w:r w:rsidRPr="00325037">
              <w:rPr>
                <w:rFonts w:ascii="Arial" w:hAnsi="Arial" w:cs="Arial"/>
                <w:sz w:val="20"/>
                <w:szCs w:val="20"/>
              </w:rPr>
              <w:t>programmes</w:t>
            </w:r>
            <w:proofErr w:type="spellEnd"/>
            <w:r w:rsidRPr="00325037">
              <w:rPr>
                <w:rFonts w:ascii="Arial" w:hAnsi="Arial" w:cs="Arial"/>
                <w:sz w:val="20"/>
                <w:szCs w:val="20"/>
              </w:rPr>
              <w:t xml:space="preserve">, </w:t>
            </w:r>
            <w:proofErr w:type="spellStart"/>
            <w:r w:rsidRPr="00325037">
              <w:rPr>
                <w:rFonts w:ascii="Arial" w:hAnsi="Arial" w:cs="Arial"/>
                <w:sz w:val="20"/>
                <w:szCs w:val="20"/>
              </w:rPr>
              <w:t>behavioural</w:t>
            </w:r>
            <w:proofErr w:type="spellEnd"/>
            <w:r w:rsidRPr="00325037">
              <w:rPr>
                <w:rFonts w:ascii="Arial" w:hAnsi="Arial" w:cs="Arial"/>
                <w:sz w:val="20"/>
                <w:szCs w:val="20"/>
              </w:rPr>
              <w:t xml:space="preserve"> therapy, and attending a </w:t>
            </w:r>
            <w:proofErr w:type="spellStart"/>
            <w:r w:rsidRPr="00325037">
              <w:rPr>
                <w:rFonts w:ascii="Arial" w:hAnsi="Arial" w:cs="Arial"/>
                <w:sz w:val="20"/>
                <w:szCs w:val="20"/>
              </w:rPr>
              <w:t>specialised</w:t>
            </w:r>
            <w:proofErr w:type="spellEnd"/>
            <w:r w:rsidRPr="00325037">
              <w:rPr>
                <w:rFonts w:ascii="Arial" w:hAnsi="Arial" w:cs="Arial"/>
                <w:sz w:val="20"/>
                <w:szCs w:val="20"/>
              </w:rPr>
              <w:t xml:space="preserve"> pain clinic.</w:t>
            </w:r>
          </w:p>
          <w:p w14:paraId="46A71FEE" w14:textId="77777777" w:rsidR="002E12FF" w:rsidRPr="00325037" w:rsidRDefault="0027770E" w:rsidP="002E12FF">
            <w:pPr>
              <w:rPr>
                <w:rFonts w:ascii="Arial" w:hAnsi="Arial" w:cs="Arial"/>
                <w:sz w:val="20"/>
                <w:szCs w:val="20"/>
              </w:rPr>
            </w:pPr>
            <w:r w:rsidRPr="00325037">
              <w:rPr>
                <w:rFonts w:ascii="Arial" w:hAnsi="Arial" w:cs="Arial"/>
                <w:sz w:val="20"/>
                <w:szCs w:val="20"/>
              </w:rPr>
              <w:t>Alternative options are suggested in line with the National Back Pain Pathway.</w:t>
            </w:r>
            <w:r w:rsidR="002E12FF" w:rsidRPr="00325037">
              <w:rPr>
                <w:rFonts w:ascii="Arial" w:hAnsi="Arial" w:cs="Arial"/>
                <w:sz w:val="20"/>
                <w:szCs w:val="20"/>
              </w:rPr>
              <w:t xml:space="preserve"> </w:t>
            </w:r>
          </w:p>
          <w:p w14:paraId="46A71FEF" w14:textId="77777777" w:rsidR="002E12FF" w:rsidRPr="00325037" w:rsidRDefault="002E12FF" w:rsidP="002E12FF">
            <w:pPr>
              <w:rPr>
                <w:rFonts w:ascii="Arial" w:hAnsi="Arial" w:cs="Arial"/>
                <w:sz w:val="20"/>
                <w:szCs w:val="20"/>
              </w:rPr>
            </w:pPr>
          </w:p>
          <w:p w14:paraId="26692C03" w14:textId="2BCA3C31" w:rsidR="00325037" w:rsidRPr="00325037" w:rsidRDefault="002E12FF" w:rsidP="002E12FF">
            <w:pPr>
              <w:rPr>
                <w:rStyle w:val="Hyperlink"/>
                <w:rFonts w:ascii="Arial" w:hAnsi="Arial" w:cs="Arial"/>
                <w:sz w:val="20"/>
                <w:szCs w:val="20"/>
              </w:rPr>
            </w:pPr>
            <w:r w:rsidRPr="00325037">
              <w:rPr>
                <w:rFonts w:ascii="Arial" w:hAnsi="Arial" w:cs="Arial"/>
                <w:sz w:val="20"/>
                <w:szCs w:val="20"/>
              </w:rPr>
              <w:t xml:space="preserve">For further information, please </w:t>
            </w:r>
            <w:proofErr w:type="gramStart"/>
            <w:r w:rsidRPr="00325037">
              <w:rPr>
                <w:rFonts w:ascii="Arial" w:hAnsi="Arial" w:cs="Arial"/>
                <w:sz w:val="20"/>
                <w:szCs w:val="20"/>
              </w:rPr>
              <w:t>see:</w:t>
            </w:r>
            <w:proofErr w:type="gramEnd"/>
            <w:r w:rsidRPr="00325037">
              <w:rPr>
                <w:rFonts w:ascii="Arial" w:hAnsi="Arial" w:cs="Arial"/>
                <w:sz w:val="20"/>
                <w:szCs w:val="20"/>
              </w:rPr>
              <w:t xml:space="preserve"> https://</w:t>
            </w:r>
            <w:hyperlink r:id="rId9">
              <w:r w:rsidRPr="00325037">
                <w:rPr>
                  <w:rStyle w:val="Hyperlink"/>
                  <w:rFonts w:ascii="Arial" w:hAnsi="Arial" w:cs="Arial"/>
                  <w:sz w:val="20"/>
                  <w:szCs w:val="20"/>
                </w:rPr>
                <w:t>www.nice.org.uk/guidance/ng59</w:t>
              </w:r>
            </w:hyperlink>
          </w:p>
          <w:p w14:paraId="46A71FF1" w14:textId="77777777" w:rsidR="0069260D" w:rsidRPr="00325037" w:rsidRDefault="0069260D" w:rsidP="002E12FF">
            <w:pPr>
              <w:rPr>
                <w:rFonts w:ascii="Arial" w:hAnsi="Arial" w:cs="Arial"/>
                <w:sz w:val="20"/>
                <w:szCs w:val="20"/>
              </w:rPr>
            </w:pPr>
          </w:p>
        </w:tc>
      </w:tr>
      <w:tr w:rsidR="0027770E" w:rsidRPr="00325037" w14:paraId="46A71FF4" w14:textId="77777777" w:rsidTr="00325037">
        <w:trPr>
          <w:trHeight w:val="275"/>
        </w:trPr>
        <w:tc>
          <w:tcPr>
            <w:tcW w:w="10490" w:type="dxa"/>
            <w:shd w:val="clear" w:color="auto" w:fill="16365D"/>
          </w:tcPr>
          <w:p w14:paraId="46A71FF3" w14:textId="77777777" w:rsidR="0027770E" w:rsidRPr="00325037" w:rsidRDefault="0027770E" w:rsidP="002E12FF">
            <w:pPr>
              <w:rPr>
                <w:rFonts w:ascii="Arial" w:hAnsi="Arial" w:cs="Arial"/>
                <w:sz w:val="20"/>
                <w:szCs w:val="20"/>
              </w:rPr>
            </w:pPr>
            <w:r w:rsidRPr="00325037">
              <w:rPr>
                <w:rFonts w:ascii="Arial" w:hAnsi="Arial" w:cs="Arial"/>
                <w:sz w:val="20"/>
                <w:szCs w:val="20"/>
              </w:rPr>
              <w:t>Rationale for recommendation</w:t>
            </w:r>
          </w:p>
        </w:tc>
      </w:tr>
      <w:tr w:rsidR="0027770E" w:rsidRPr="00325037" w14:paraId="46A72009" w14:textId="77777777" w:rsidTr="00325037">
        <w:trPr>
          <w:trHeight w:val="7759"/>
        </w:trPr>
        <w:tc>
          <w:tcPr>
            <w:tcW w:w="10490" w:type="dxa"/>
          </w:tcPr>
          <w:p w14:paraId="46A71FF5" w14:textId="77777777" w:rsidR="0027770E" w:rsidRPr="00325037" w:rsidRDefault="0027770E" w:rsidP="002E12FF">
            <w:pPr>
              <w:rPr>
                <w:rFonts w:ascii="Arial" w:hAnsi="Arial" w:cs="Arial"/>
                <w:sz w:val="20"/>
                <w:szCs w:val="20"/>
              </w:rPr>
            </w:pPr>
            <w:r w:rsidRPr="00325037">
              <w:rPr>
                <w:rFonts w:ascii="Arial" w:hAnsi="Arial" w:cs="Arial"/>
                <w:sz w:val="20"/>
                <w:szCs w:val="20"/>
              </w:rPr>
              <w:lastRenderedPageBreak/>
              <w:t>NICE guidelines recommend that spinal injections should not be offered for non- specific low back pain.</w:t>
            </w:r>
          </w:p>
          <w:p w14:paraId="46A71FF6" w14:textId="77777777" w:rsidR="0027770E" w:rsidRPr="00325037" w:rsidRDefault="0027770E" w:rsidP="002E12FF">
            <w:pPr>
              <w:rPr>
                <w:rFonts w:ascii="Arial" w:hAnsi="Arial" w:cs="Arial"/>
                <w:sz w:val="20"/>
                <w:szCs w:val="20"/>
              </w:rPr>
            </w:pPr>
          </w:p>
          <w:p w14:paraId="46A71FF7" w14:textId="77777777" w:rsidR="0027770E" w:rsidRPr="00325037" w:rsidRDefault="0027770E" w:rsidP="002E12FF">
            <w:pPr>
              <w:rPr>
                <w:rFonts w:ascii="Arial" w:hAnsi="Arial" w:cs="Arial"/>
                <w:sz w:val="20"/>
                <w:szCs w:val="20"/>
              </w:rPr>
            </w:pPr>
            <w:r w:rsidRPr="00325037">
              <w:rPr>
                <w:rFonts w:ascii="Arial" w:hAnsi="Arial" w:cs="Arial"/>
                <w:sz w:val="20"/>
                <w:szCs w:val="20"/>
              </w:rPr>
              <w:t>Radiofrequency denervation (to destroy the nerves that supply the painful facet joint in the spine) can be considered in some cases as per NICE guidance.</w:t>
            </w:r>
          </w:p>
          <w:p w14:paraId="46A71FF8" w14:textId="77777777" w:rsidR="0027770E" w:rsidRPr="00325037" w:rsidRDefault="0027770E" w:rsidP="002E12FF">
            <w:pPr>
              <w:rPr>
                <w:rFonts w:ascii="Arial" w:hAnsi="Arial" w:cs="Arial"/>
                <w:sz w:val="20"/>
                <w:szCs w:val="20"/>
              </w:rPr>
            </w:pPr>
          </w:p>
          <w:p w14:paraId="46A71FF9" w14:textId="77777777" w:rsidR="0027770E" w:rsidRPr="00325037" w:rsidRDefault="0027770E" w:rsidP="002E12FF">
            <w:pPr>
              <w:rPr>
                <w:rFonts w:ascii="Arial" w:hAnsi="Arial" w:cs="Arial"/>
                <w:sz w:val="20"/>
                <w:szCs w:val="20"/>
              </w:rPr>
            </w:pPr>
            <w:r w:rsidRPr="00325037">
              <w:rPr>
                <w:rFonts w:ascii="Arial" w:hAnsi="Arial" w:cs="Arial"/>
                <w:sz w:val="20"/>
                <w:szCs w:val="20"/>
              </w:rPr>
              <w:t>Exclusion criteria for the NICE (NG59) include: Conditions of a non-mechanical nature, including;</w:t>
            </w:r>
          </w:p>
          <w:p w14:paraId="46A71FFA" w14:textId="77777777" w:rsidR="0027770E" w:rsidRPr="00325037" w:rsidRDefault="0027770E" w:rsidP="002E12FF">
            <w:pPr>
              <w:rPr>
                <w:rFonts w:ascii="Arial" w:hAnsi="Arial" w:cs="Arial"/>
                <w:sz w:val="20"/>
                <w:szCs w:val="20"/>
              </w:rPr>
            </w:pPr>
            <w:r w:rsidRPr="00325037">
              <w:rPr>
                <w:rFonts w:ascii="Arial" w:hAnsi="Arial" w:cs="Arial"/>
                <w:sz w:val="20"/>
                <w:szCs w:val="20"/>
              </w:rPr>
              <w:t>Inflammatory causes of back pain (for example, ankylosing spondylitis or diseases of the viscera)</w:t>
            </w:r>
          </w:p>
          <w:p w14:paraId="46A71FFB" w14:textId="77777777" w:rsidR="0027770E" w:rsidRPr="00325037" w:rsidRDefault="0027770E" w:rsidP="002E12FF">
            <w:pPr>
              <w:rPr>
                <w:rFonts w:ascii="Arial" w:hAnsi="Arial" w:cs="Arial"/>
                <w:sz w:val="20"/>
                <w:szCs w:val="20"/>
              </w:rPr>
            </w:pPr>
            <w:r w:rsidRPr="00325037">
              <w:rPr>
                <w:rFonts w:ascii="Arial" w:hAnsi="Arial" w:cs="Arial"/>
                <w:sz w:val="20"/>
                <w:szCs w:val="20"/>
              </w:rPr>
              <w:t>Serious spinal pathology (for example, neoplasms, infections or osteoporotic collapse)</w:t>
            </w:r>
          </w:p>
          <w:p w14:paraId="46A71FFC" w14:textId="77777777" w:rsidR="0027770E" w:rsidRPr="00325037" w:rsidRDefault="0027770E" w:rsidP="002E12FF">
            <w:pPr>
              <w:rPr>
                <w:rFonts w:ascii="Arial" w:hAnsi="Arial" w:cs="Arial"/>
                <w:sz w:val="20"/>
                <w:szCs w:val="20"/>
              </w:rPr>
            </w:pPr>
            <w:r w:rsidRPr="00325037">
              <w:rPr>
                <w:rFonts w:ascii="Arial" w:hAnsi="Arial" w:cs="Arial"/>
                <w:sz w:val="20"/>
                <w:szCs w:val="20"/>
              </w:rPr>
              <w:t>Neurological disorders (including cauda equina syndrome or mononeuritis) Adolescent scoliosis</w:t>
            </w:r>
          </w:p>
          <w:p w14:paraId="46A71FFD" w14:textId="77777777" w:rsidR="0027770E" w:rsidRPr="00325037" w:rsidRDefault="0027770E" w:rsidP="002E12FF">
            <w:pPr>
              <w:rPr>
                <w:rFonts w:ascii="Arial" w:hAnsi="Arial" w:cs="Arial"/>
                <w:sz w:val="20"/>
                <w:szCs w:val="20"/>
              </w:rPr>
            </w:pPr>
            <w:r w:rsidRPr="00325037">
              <w:rPr>
                <w:rFonts w:ascii="Arial" w:hAnsi="Arial" w:cs="Arial"/>
                <w:sz w:val="20"/>
                <w:szCs w:val="20"/>
              </w:rPr>
              <w:t>Not covered were conditions with a select and uniform pathology of a mechanical nature (e.g. spondylolisthesis, scoliosis, vertebral fracture or congenital disease) Other agreed exclusions by the GDG are: Pregnancy-related back pain, Sacroiliac joint dysfunction, Adjacent-segment disease, Failed back surgery syndrome, Spondylolisthesis and Osteoarthritis.</w:t>
            </w:r>
          </w:p>
          <w:p w14:paraId="46A71FFE" w14:textId="77777777" w:rsidR="0027770E" w:rsidRPr="00325037" w:rsidRDefault="0027770E" w:rsidP="002E12FF">
            <w:pPr>
              <w:rPr>
                <w:rFonts w:ascii="Arial" w:hAnsi="Arial" w:cs="Arial"/>
                <w:sz w:val="20"/>
                <w:szCs w:val="20"/>
              </w:rPr>
            </w:pPr>
          </w:p>
          <w:p w14:paraId="46A71FFF" w14:textId="77777777" w:rsidR="0027770E" w:rsidRPr="00325037" w:rsidRDefault="0027770E" w:rsidP="002E12FF">
            <w:pPr>
              <w:rPr>
                <w:rFonts w:ascii="Arial" w:hAnsi="Arial" w:cs="Arial"/>
                <w:sz w:val="20"/>
                <w:szCs w:val="20"/>
              </w:rPr>
            </w:pPr>
            <w:r w:rsidRPr="00325037">
              <w:rPr>
                <w:rFonts w:ascii="Arial" w:hAnsi="Arial" w:cs="Arial"/>
                <w:sz w:val="20"/>
                <w:szCs w:val="20"/>
              </w:rPr>
              <w:t>NICE recommends the following approach for non-surgical invasive treatments for low back pain and sciatica in over 16s</w:t>
            </w:r>
          </w:p>
          <w:p w14:paraId="46A72000" w14:textId="77777777" w:rsidR="0027770E" w:rsidRPr="00325037" w:rsidRDefault="0027770E" w:rsidP="002E12FF">
            <w:pPr>
              <w:rPr>
                <w:rFonts w:ascii="Arial" w:hAnsi="Arial" w:cs="Arial"/>
                <w:sz w:val="20"/>
                <w:szCs w:val="20"/>
              </w:rPr>
            </w:pPr>
          </w:p>
          <w:p w14:paraId="46A72001" w14:textId="77777777" w:rsidR="0027770E" w:rsidRPr="00325037" w:rsidRDefault="0027770E" w:rsidP="002E12FF">
            <w:pPr>
              <w:rPr>
                <w:rFonts w:ascii="Arial" w:hAnsi="Arial" w:cs="Arial"/>
                <w:sz w:val="20"/>
                <w:szCs w:val="20"/>
              </w:rPr>
            </w:pPr>
            <w:r w:rsidRPr="00325037">
              <w:rPr>
                <w:rFonts w:ascii="Arial" w:hAnsi="Arial" w:cs="Arial"/>
                <w:sz w:val="20"/>
                <w:szCs w:val="20"/>
              </w:rPr>
              <w:t>Spinal injections</w:t>
            </w:r>
          </w:p>
          <w:p w14:paraId="46A72002" w14:textId="77777777" w:rsidR="0027770E" w:rsidRPr="00325037" w:rsidRDefault="0027770E" w:rsidP="002E12FF">
            <w:pPr>
              <w:rPr>
                <w:rFonts w:ascii="Arial" w:hAnsi="Arial" w:cs="Arial"/>
                <w:sz w:val="20"/>
                <w:szCs w:val="20"/>
              </w:rPr>
            </w:pPr>
            <w:r w:rsidRPr="00325037">
              <w:rPr>
                <w:rFonts w:ascii="Arial" w:hAnsi="Arial" w:cs="Arial"/>
                <w:sz w:val="20"/>
                <w:szCs w:val="20"/>
              </w:rPr>
              <w:t>Do not offer spinal injections for managing nonspecific low back pain.</w:t>
            </w:r>
          </w:p>
          <w:p w14:paraId="46A72003" w14:textId="77777777" w:rsidR="0027770E" w:rsidRPr="00325037" w:rsidRDefault="0027770E" w:rsidP="002E12FF">
            <w:pPr>
              <w:rPr>
                <w:rFonts w:ascii="Arial" w:hAnsi="Arial" w:cs="Arial"/>
                <w:sz w:val="20"/>
                <w:szCs w:val="20"/>
              </w:rPr>
            </w:pPr>
          </w:p>
          <w:p w14:paraId="46A72004" w14:textId="77777777" w:rsidR="0027770E" w:rsidRPr="00325037" w:rsidRDefault="0027770E" w:rsidP="002E12FF">
            <w:pPr>
              <w:rPr>
                <w:rFonts w:ascii="Arial" w:hAnsi="Arial" w:cs="Arial"/>
                <w:sz w:val="20"/>
                <w:szCs w:val="20"/>
              </w:rPr>
            </w:pPr>
            <w:r w:rsidRPr="00325037">
              <w:rPr>
                <w:rFonts w:ascii="Arial" w:hAnsi="Arial" w:cs="Arial"/>
                <w:sz w:val="20"/>
                <w:szCs w:val="20"/>
              </w:rPr>
              <w:t>Radiofrequency denervation</w:t>
            </w:r>
          </w:p>
          <w:p w14:paraId="46A72005" w14:textId="77777777" w:rsidR="0027770E" w:rsidRPr="00325037" w:rsidRDefault="0027770E" w:rsidP="002E12FF">
            <w:pPr>
              <w:rPr>
                <w:rFonts w:ascii="Arial" w:hAnsi="Arial" w:cs="Arial"/>
                <w:sz w:val="20"/>
                <w:szCs w:val="20"/>
              </w:rPr>
            </w:pPr>
            <w:r w:rsidRPr="00325037">
              <w:rPr>
                <w:rFonts w:ascii="Arial" w:hAnsi="Arial" w:cs="Arial"/>
                <w:sz w:val="20"/>
                <w:szCs w:val="20"/>
              </w:rPr>
              <w:t>Consider referral for assessment for radiofrequency denervation for people with non-specific low back pain when:</w:t>
            </w:r>
          </w:p>
          <w:p w14:paraId="46A72006" w14:textId="77777777" w:rsidR="0027770E" w:rsidRPr="00325037" w:rsidRDefault="0027770E" w:rsidP="002E12FF">
            <w:pPr>
              <w:rPr>
                <w:rFonts w:ascii="Arial" w:hAnsi="Arial" w:cs="Arial"/>
                <w:sz w:val="20"/>
                <w:szCs w:val="20"/>
              </w:rPr>
            </w:pPr>
            <w:r w:rsidRPr="00325037">
              <w:rPr>
                <w:rFonts w:ascii="Arial" w:hAnsi="Arial" w:cs="Arial"/>
                <w:sz w:val="20"/>
                <w:szCs w:val="20"/>
              </w:rPr>
              <w:t xml:space="preserve">non-surgical treatment has not worked for them and the main source of pain is thought to come from structures supplied by the medial branch nerve and they have moderate or severe levels of </w:t>
            </w:r>
            <w:proofErr w:type="spellStart"/>
            <w:r w:rsidRPr="00325037">
              <w:rPr>
                <w:rFonts w:ascii="Arial" w:hAnsi="Arial" w:cs="Arial"/>
                <w:sz w:val="20"/>
                <w:szCs w:val="20"/>
              </w:rPr>
              <w:t>localised</w:t>
            </w:r>
            <w:proofErr w:type="spellEnd"/>
            <w:r w:rsidRPr="00325037">
              <w:rPr>
                <w:rFonts w:ascii="Arial" w:hAnsi="Arial" w:cs="Arial"/>
                <w:sz w:val="20"/>
                <w:szCs w:val="20"/>
              </w:rPr>
              <w:t xml:space="preserve"> back pain (rated as 5 or more on a visual analogue scale, or equivalent) at the time of referral.</w:t>
            </w:r>
          </w:p>
          <w:p w14:paraId="46A72007" w14:textId="77777777" w:rsidR="0027770E" w:rsidRPr="00325037" w:rsidRDefault="0027770E" w:rsidP="002E12FF">
            <w:pPr>
              <w:rPr>
                <w:rFonts w:ascii="Arial" w:hAnsi="Arial" w:cs="Arial"/>
                <w:sz w:val="20"/>
                <w:szCs w:val="20"/>
              </w:rPr>
            </w:pPr>
            <w:r w:rsidRPr="00325037">
              <w:rPr>
                <w:rFonts w:ascii="Arial" w:hAnsi="Arial" w:cs="Arial"/>
                <w:sz w:val="20"/>
                <w:szCs w:val="20"/>
              </w:rPr>
              <w:t xml:space="preserve">Only perform radiofrequency denervation in people with non-specific low back pain after a positive response to a diagnostic </w:t>
            </w:r>
            <w:proofErr w:type="spellStart"/>
            <w:r w:rsidRPr="00325037">
              <w:rPr>
                <w:rFonts w:ascii="Arial" w:hAnsi="Arial" w:cs="Arial"/>
                <w:sz w:val="20"/>
                <w:szCs w:val="20"/>
              </w:rPr>
              <w:t>medial</w:t>
            </w:r>
            <w:proofErr w:type="spellEnd"/>
            <w:r w:rsidRPr="00325037">
              <w:rPr>
                <w:rFonts w:ascii="Arial" w:hAnsi="Arial" w:cs="Arial"/>
                <w:sz w:val="20"/>
                <w:szCs w:val="20"/>
              </w:rPr>
              <w:t xml:space="preserve"> branch block.</w:t>
            </w:r>
          </w:p>
          <w:p w14:paraId="46A72008" w14:textId="77777777" w:rsidR="002E12FF" w:rsidRPr="00325037" w:rsidRDefault="0027770E" w:rsidP="0069260D">
            <w:pPr>
              <w:rPr>
                <w:rFonts w:ascii="Arial" w:hAnsi="Arial" w:cs="Arial"/>
                <w:sz w:val="20"/>
                <w:szCs w:val="20"/>
              </w:rPr>
            </w:pPr>
            <w:r w:rsidRPr="00325037">
              <w:rPr>
                <w:rFonts w:ascii="Arial" w:hAnsi="Arial" w:cs="Arial"/>
                <w:sz w:val="20"/>
                <w:szCs w:val="20"/>
              </w:rPr>
              <w:t>Do not offer imaging for people with non-specific low back pain with specific facet join pain as a prerequisite for radi</w:t>
            </w:r>
            <w:r w:rsidR="0069260D" w:rsidRPr="00325037">
              <w:rPr>
                <w:rFonts w:ascii="Arial" w:hAnsi="Arial" w:cs="Arial"/>
                <w:sz w:val="20"/>
                <w:szCs w:val="20"/>
              </w:rPr>
              <w:t>o</w:t>
            </w:r>
            <w:r w:rsidRPr="00325037">
              <w:rPr>
                <w:rFonts w:ascii="Arial" w:hAnsi="Arial" w:cs="Arial"/>
                <w:sz w:val="20"/>
                <w:szCs w:val="20"/>
              </w:rPr>
              <w:t>frequency denervation.</w:t>
            </w:r>
          </w:p>
        </w:tc>
      </w:tr>
      <w:tr w:rsidR="002E12FF" w:rsidRPr="00325037" w14:paraId="46A7200C" w14:textId="77777777" w:rsidTr="00325037">
        <w:trPr>
          <w:trHeight w:val="355"/>
        </w:trPr>
        <w:tc>
          <w:tcPr>
            <w:tcW w:w="10490" w:type="dxa"/>
            <w:shd w:val="clear" w:color="auto" w:fill="244061" w:themeFill="accent1" w:themeFillShade="80"/>
          </w:tcPr>
          <w:p w14:paraId="46A7200A" w14:textId="77777777" w:rsidR="002E12FF" w:rsidRPr="00325037" w:rsidRDefault="002E12FF" w:rsidP="002E12FF">
            <w:pPr>
              <w:rPr>
                <w:rFonts w:ascii="Arial" w:hAnsi="Arial" w:cs="Arial"/>
                <w:sz w:val="20"/>
                <w:szCs w:val="20"/>
              </w:rPr>
            </w:pPr>
            <w:r w:rsidRPr="00325037">
              <w:rPr>
                <w:rFonts w:ascii="Arial" w:hAnsi="Arial" w:cs="Arial"/>
                <w:sz w:val="20"/>
                <w:szCs w:val="20"/>
              </w:rPr>
              <w:t>References</w:t>
            </w:r>
          </w:p>
          <w:p w14:paraId="46A7200B" w14:textId="77777777" w:rsidR="002E12FF" w:rsidRPr="00325037" w:rsidRDefault="002E12FF" w:rsidP="002E12FF">
            <w:pPr>
              <w:rPr>
                <w:rFonts w:ascii="Arial" w:hAnsi="Arial" w:cs="Arial"/>
                <w:sz w:val="20"/>
                <w:szCs w:val="20"/>
              </w:rPr>
            </w:pPr>
          </w:p>
        </w:tc>
      </w:tr>
      <w:tr w:rsidR="002E12FF" w:rsidRPr="00325037" w14:paraId="46A72013" w14:textId="77777777" w:rsidTr="00325037">
        <w:trPr>
          <w:trHeight w:val="2483"/>
        </w:trPr>
        <w:tc>
          <w:tcPr>
            <w:tcW w:w="10490" w:type="dxa"/>
          </w:tcPr>
          <w:p w14:paraId="46A7200D" w14:textId="77777777" w:rsidR="002E12FF" w:rsidRPr="00325037" w:rsidRDefault="002E12FF" w:rsidP="002E12FF">
            <w:pPr>
              <w:rPr>
                <w:rFonts w:ascii="Arial" w:hAnsi="Arial" w:cs="Arial"/>
                <w:sz w:val="20"/>
                <w:szCs w:val="20"/>
              </w:rPr>
            </w:pPr>
            <w:r w:rsidRPr="00325037">
              <w:rPr>
                <w:rFonts w:ascii="Arial" w:hAnsi="Arial" w:cs="Arial"/>
                <w:sz w:val="20"/>
                <w:szCs w:val="20"/>
              </w:rPr>
              <w:t>NICE guidance: https://</w:t>
            </w:r>
            <w:hyperlink r:id="rId10">
              <w:r w:rsidRPr="00325037">
                <w:rPr>
                  <w:rStyle w:val="Hyperlink"/>
                  <w:rFonts w:ascii="Arial" w:hAnsi="Arial" w:cs="Arial"/>
                  <w:sz w:val="20"/>
                  <w:szCs w:val="20"/>
                </w:rPr>
                <w:t>www.nice.org.uk/guidance/ng59,</w:t>
              </w:r>
            </w:hyperlink>
          </w:p>
          <w:p w14:paraId="46A7200E" w14:textId="77777777" w:rsidR="002E12FF" w:rsidRPr="00325037" w:rsidRDefault="002E12FF" w:rsidP="002E12FF">
            <w:pPr>
              <w:rPr>
                <w:rFonts w:ascii="Arial" w:hAnsi="Arial" w:cs="Arial"/>
                <w:sz w:val="20"/>
                <w:szCs w:val="20"/>
              </w:rPr>
            </w:pPr>
            <w:r w:rsidRPr="00325037">
              <w:rPr>
                <w:rFonts w:ascii="Arial" w:hAnsi="Arial" w:cs="Arial"/>
                <w:sz w:val="20"/>
                <w:szCs w:val="20"/>
              </w:rPr>
              <w:t>United Kingdom Spine Societies Board: https://</w:t>
            </w:r>
            <w:hyperlink r:id="rId11">
              <w:r w:rsidRPr="00325037">
                <w:rPr>
                  <w:rStyle w:val="Hyperlink"/>
                  <w:rFonts w:ascii="Arial" w:hAnsi="Arial" w:cs="Arial"/>
                  <w:sz w:val="20"/>
                  <w:szCs w:val="20"/>
                </w:rPr>
                <w:t>www.ukssb.com/improving-</w:t>
              </w:r>
            </w:hyperlink>
            <w:r w:rsidRPr="00325037">
              <w:rPr>
                <w:rFonts w:ascii="Arial" w:hAnsi="Arial" w:cs="Arial"/>
                <w:sz w:val="20"/>
                <w:szCs w:val="20"/>
              </w:rPr>
              <w:t xml:space="preserve"> spinal-care-project</w:t>
            </w:r>
          </w:p>
          <w:p w14:paraId="46A7200F" w14:textId="77777777" w:rsidR="002E12FF" w:rsidRPr="00325037" w:rsidRDefault="002E12FF" w:rsidP="002E12FF">
            <w:pPr>
              <w:rPr>
                <w:rFonts w:ascii="Arial" w:hAnsi="Arial" w:cs="Arial"/>
                <w:sz w:val="20"/>
                <w:szCs w:val="20"/>
              </w:rPr>
            </w:pPr>
            <w:r w:rsidRPr="00325037">
              <w:rPr>
                <w:rFonts w:ascii="Arial" w:hAnsi="Arial" w:cs="Arial"/>
                <w:sz w:val="20"/>
                <w:szCs w:val="20"/>
              </w:rPr>
              <w:t xml:space="preserve">Benyamin RM, </w:t>
            </w:r>
            <w:proofErr w:type="spellStart"/>
            <w:r w:rsidRPr="00325037">
              <w:rPr>
                <w:rFonts w:ascii="Arial" w:hAnsi="Arial" w:cs="Arial"/>
                <w:sz w:val="20"/>
                <w:szCs w:val="20"/>
              </w:rPr>
              <w:t>Manchikanti</w:t>
            </w:r>
            <w:proofErr w:type="spellEnd"/>
            <w:r w:rsidRPr="00325037">
              <w:rPr>
                <w:rFonts w:ascii="Arial" w:hAnsi="Arial" w:cs="Arial"/>
                <w:sz w:val="20"/>
                <w:szCs w:val="20"/>
              </w:rPr>
              <w:t xml:space="preserve"> L, Parr AT, Diwan S, Singh V, Falco FJ, et al. The effectiveness of lumbar interlaminar epidural injections in managing chronic low back and lower extremity pain. Pain Physician. 2012 Jul- Aug;15(4</w:t>
            </w:r>
            <w:proofErr w:type="gramStart"/>
            <w:r w:rsidRPr="00325037">
              <w:rPr>
                <w:rFonts w:ascii="Arial" w:hAnsi="Arial" w:cs="Arial"/>
                <w:sz w:val="20"/>
                <w:szCs w:val="20"/>
              </w:rPr>
              <w:t>):E</w:t>
            </w:r>
            <w:proofErr w:type="gramEnd"/>
            <w:r w:rsidRPr="00325037">
              <w:rPr>
                <w:rFonts w:ascii="Arial" w:hAnsi="Arial" w:cs="Arial"/>
                <w:sz w:val="20"/>
                <w:szCs w:val="20"/>
              </w:rPr>
              <w:t>363-404.</w:t>
            </w:r>
          </w:p>
          <w:p w14:paraId="46A72010" w14:textId="77777777" w:rsidR="002E12FF" w:rsidRPr="00325037" w:rsidRDefault="002E12FF" w:rsidP="002E12FF">
            <w:pPr>
              <w:rPr>
                <w:rFonts w:ascii="Arial" w:hAnsi="Arial" w:cs="Arial"/>
                <w:sz w:val="20"/>
                <w:szCs w:val="20"/>
              </w:rPr>
            </w:pPr>
            <w:r w:rsidRPr="00325037">
              <w:rPr>
                <w:rFonts w:ascii="Arial" w:hAnsi="Arial" w:cs="Arial"/>
                <w:sz w:val="20"/>
                <w:szCs w:val="20"/>
              </w:rPr>
              <w:t>Choi HJ, Hahn S, Kim CH, Jang BH, Park S, Lee SM, et al. Epidural steroid injection therapy for low back pain: a meta-analysis. Int J Technol Assess Health Care. 2013 Jul;29(3):244-53.</w:t>
            </w:r>
          </w:p>
          <w:p w14:paraId="46A72011" w14:textId="77777777" w:rsidR="002E12FF" w:rsidRPr="00325037" w:rsidRDefault="002E12FF" w:rsidP="002E12FF">
            <w:pPr>
              <w:rPr>
                <w:rFonts w:ascii="Arial" w:hAnsi="Arial" w:cs="Arial"/>
                <w:sz w:val="20"/>
                <w:szCs w:val="20"/>
              </w:rPr>
            </w:pPr>
            <w:r w:rsidRPr="00325037">
              <w:rPr>
                <w:rFonts w:ascii="Arial" w:hAnsi="Arial" w:cs="Arial"/>
                <w:sz w:val="20"/>
                <w:szCs w:val="20"/>
              </w:rPr>
              <w:t xml:space="preserve">Cohen SP, </w:t>
            </w:r>
            <w:proofErr w:type="spellStart"/>
            <w:r w:rsidRPr="00325037">
              <w:rPr>
                <w:rFonts w:ascii="Arial" w:hAnsi="Arial" w:cs="Arial"/>
                <w:sz w:val="20"/>
                <w:szCs w:val="20"/>
              </w:rPr>
              <w:t>Bicket</w:t>
            </w:r>
            <w:proofErr w:type="spellEnd"/>
            <w:r w:rsidRPr="00325037">
              <w:rPr>
                <w:rFonts w:ascii="Arial" w:hAnsi="Arial" w:cs="Arial"/>
                <w:sz w:val="20"/>
                <w:szCs w:val="20"/>
              </w:rPr>
              <w:t xml:space="preserve"> MC, Jamison D, Wilkinson I, </w:t>
            </w:r>
            <w:proofErr w:type="spellStart"/>
            <w:r w:rsidRPr="00325037">
              <w:rPr>
                <w:rFonts w:ascii="Arial" w:hAnsi="Arial" w:cs="Arial"/>
                <w:sz w:val="20"/>
                <w:szCs w:val="20"/>
              </w:rPr>
              <w:t>Rathmell</w:t>
            </w:r>
            <w:proofErr w:type="spellEnd"/>
            <w:r w:rsidRPr="00325037">
              <w:rPr>
                <w:rFonts w:ascii="Arial" w:hAnsi="Arial" w:cs="Arial"/>
                <w:sz w:val="20"/>
                <w:szCs w:val="20"/>
              </w:rPr>
              <w:t xml:space="preserve"> JP. Epidural steroids: a comprehensive, evidence-based review. Reg </w:t>
            </w:r>
            <w:proofErr w:type="spellStart"/>
            <w:r w:rsidRPr="00325037">
              <w:rPr>
                <w:rFonts w:ascii="Arial" w:hAnsi="Arial" w:cs="Arial"/>
                <w:sz w:val="20"/>
                <w:szCs w:val="20"/>
              </w:rPr>
              <w:t>Anesth</w:t>
            </w:r>
            <w:proofErr w:type="spellEnd"/>
            <w:r w:rsidRPr="00325037">
              <w:rPr>
                <w:rFonts w:ascii="Arial" w:hAnsi="Arial" w:cs="Arial"/>
                <w:sz w:val="20"/>
                <w:szCs w:val="20"/>
              </w:rPr>
              <w:t xml:space="preserve"> Pain Med. 2013 May- Jun;38(3):175-200.</w:t>
            </w:r>
          </w:p>
          <w:p w14:paraId="46A72012" w14:textId="77777777" w:rsidR="002E12FF" w:rsidRPr="00325037" w:rsidRDefault="002E12FF" w:rsidP="002E12FF">
            <w:pPr>
              <w:rPr>
                <w:rFonts w:ascii="Arial" w:hAnsi="Arial" w:cs="Arial"/>
                <w:sz w:val="20"/>
                <w:szCs w:val="20"/>
              </w:rPr>
            </w:pPr>
            <w:r w:rsidRPr="00325037">
              <w:rPr>
                <w:rFonts w:ascii="Arial" w:hAnsi="Arial" w:cs="Arial"/>
                <w:sz w:val="20"/>
                <w:szCs w:val="20"/>
              </w:rPr>
              <w:t xml:space="preserve">Royal College of </w:t>
            </w:r>
            <w:proofErr w:type="spellStart"/>
            <w:r w:rsidRPr="00325037">
              <w:rPr>
                <w:rFonts w:ascii="Arial" w:hAnsi="Arial" w:cs="Arial"/>
                <w:sz w:val="20"/>
                <w:szCs w:val="20"/>
              </w:rPr>
              <w:t>Anaesthetists</w:t>
            </w:r>
            <w:proofErr w:type="spellEnd"/>
            <w:r w:rsidRPr="00325037">
              <w:rPr>
                <w:rFonts w:ascii="Arial" w:hAnsi="Arial" w:cs="Arial"/>
                <w:sz w:val="20"/>
                <w:szCs w:val="20"/>
              </w:rPr>
              <w:t>: https://</w:t>
            </w:r>
            <w:hyperlink r:id="rId12">
              <w:r w:rsidRPr="00325037">
                <w:rPr>
                  <w:rStyle w:val="Hyperlink"/>
                  <w:rFonts w:ascii="Arial" w:hAnsi="Arial" w:cs="Arial"/>
                  <w:sz w:val="20"/>
                  <w:szCs w:val="20"/>
                </w:rPr>
                <w:t>www.rcoa.ac.uk/document-</w:t>
              </w:r>
            </w:hyperlink>
            <w:r w:rsidRPr="00325037">
              <w:rPr>
                <w:rFonts w:ascii="Arial" w:hAnsi="Arial" w:cs="Arial"/>
                <w:sz w:val="20"/>
                <w:szCs w:val="20"/>
              </w:rPr>
              <w:t xml:space="preserve"> store/core-standards-pain-management-services-the-</w:t>
            </w:r>
            <w:proofErr w:type="spellStart"/>
            <w:r w:rsidRPr="00325037">
              <w:rPr>
                <w:rFonts w:ascii="Arial" w:hAnsi="Arial" w:cs="Arial"/>
                <w:sz w:val="20"/>
                <w:szCs w:val="20"/>
              </w:rPr>
              <w:t>uk</w:t>
            </w:r>
            <w:proofErr w:type="spellEnd"/>
          </w:p>
        </w:tc>
      </w:tr>
    </w:tbl>
    <w:p w14:paraId="46A72018" w14:textId="77777777" w:rsidR="0069260D" w:rsidRPr="00325037" w:rsidRDefault="0069260D" w:rsidP="002E12FF">
      <w:pPr>
        <w:rPr>
          <w:rFonts w:ascii="Arial" w:hAnsi="Arial" w:cs="Arial"/>
          <w:i/>
          <w:szCs w:val="20"/>
        </w:rPr>
      </w:pPr>
    </w:p>
    <w:p w14:paraId="46A72019" w14:textId="77777777" w:rsidR="002E12FF" w:rsidRPr="00325037" w:rsidRDefault="002E12FF" w:rsidP="002E12FF">
      <w:pPr>
        <w:rPr>
          <w:rFonts w:ascii="Arial" w:hAnsi="Arial" w:cs="Arial"/>
          <w:i/>
          <w:szCs w:val="20"/>
        </w:rPr>
      </w:pPr>
      <w:r w:rsidRPr="00325037">
        <w:rPr>
          <w:rFonts w:ascii="Arial" w:hAnsi="Arial" w:cs="Arial"/>
          <w:i/>
          <w:szCs w:val="20"/>
        </w:rPr>
        <w:t>Evidence-Based Interventions: Guidance for CCGs</w:t>
      </w:r>
    </w:p>
    <w:p w14:paraId="46A7201A" w14:textId="77777777" w:rsidR="002E12FF" w:rsidRPr="00325037" w:rsidRDefault="002E12FF" w:rsidP="002E12FF">
      <w:pPr>
        <w:rPr>
          <w:rFonts w:ascii="Arial" w:hAnsi="Arial" w:cs="Arial"/>
          <w:i/>
          <w:sz w:val="18"/>
          <w:szCs w:val="20"/>
        </w:rPr>
      </w:pPr>
      <w:r w:rsidRPr="00325037">
        <w:rPr>
          <w:rFonts w:ascii="Arial" w:hAnsi="Arial" w:cs="Arial"/>
          <w:i/>
          <w:sz w:val="18"/>
          <w:szCs w:val="20"/>
        </w:rPr>
        <w:t>Published by NHS England in partnership with NHS Clinical Commissioners, the Academy of Medical Royal Colleges, NHS Improvement and the National Institute for Health and Care Excellence</w:t>
      </w:r>
    </w:p>
    <w:p w14:paraId="46A7201B" w14:textId="77777777" w:rsidR="002E12FF" w:rsidRPr="00325037" w:rsidRDefault="002E12FF" w:rsidP="002E12FF">
      <w:pPr>
        <w:rPr>
          <w:rFonts w:ascii="Arial" w:hAnsi="Arial" w:cs="Arial"/>
          <w:i/>
          <w:sz w:val="20"/>
          <w:szCs w:val="20"/>
        </w:rPr>
      </w:pPr>
      <w:r w:rsidRPr="00325037">
        <w:rPr>
          <w:rFonts w:ascii="Arial" w:hAnsi="Arial" w:cs="Arial"/>
          <w:i/>
          <w:sz w:val="20"/>
          <w:szCs w:val="20"/>
        </w:rPr>
        <w:t>Version number: 1</w:t>
      </w:r>
    </w:p>
    <w:p w14:paraId="46A7201C" w14:textId="77777777" w:rsidR="002E12FF" w:rsidRPr="00325037" w:rsidRDefault="002E12FF" w:rsidP="002E12FF">
      <w:pPr>
        <w:rPr>
          <w:rFonts w:ascii="Arial" w:hAnsi="Arial" w:cs="Arial"/>
          <w:i/>
          <w:sz w:val="20"/>
          <w:szCs w:val="20"/>
        </w:rPr>
      </w:pPr>
      <w:r w:rsidRPr="00325037">
        <w:rPr>
          <w:rFonts w:ascii="Arial" w:hAnsi="Arial" w:cs="Arial"/>
          <w:i/>
          <w:sz w:val="20"/>
          <w:szCs w:val="20"/>
        </w:rPr>
        <w:t>First published: 28 November 2018</w:t>
      </w:r>
    </w:p>
    <w:p w14:paraId="46A7201D" w14:textId="77777777" w:rsidR="002E12FF" w:rsidRPr="00325037" w:rsidRDefault="002E12FF" w:rsidP="002E12FF">
      <w:pPr>
        <w:rPr>
          <w:rFonts w:ascii="Arial" w:hAnsi="Arial" w:cs="Arial"/>
          <w:i/>
          <w:sz w:val="20"/>
          <w:szCs w:val="20"/>
        </w:rPr>
      </w:pPr>
      <w:r w:rsidRPr="00325037">
        <w:rPr>
          <w:rFonts w:ascii="Arial" w:hAnsi="Arial" w:cs="Arial"/>
          <w:i/>
          <w:sz w:val="20"/>
          <w:szCs w:val="20"/>
        </w:rPr>
        <w:t>Prepared by: NHS England Medical directorate and Strategy and Innovation directorate</w:t>
      </w:r>
    </w:p>
    <w:p w14:paraId="46A7201E" w14:textId="77777777" w:rsidR="002E12FF" w:rsidRPr="00325037" w:rsidRDefault="002E12FF" w:rsidP="002E12FF">
      <w:pPr>
        <w:rPr>
          <w:rFonts w:ascii="Arial" w:hAnsi="Arial" w:cs="Arial"/>
          <w:i/>
          <w:sz w:val="20"/>
          <w:szCs w:val="20"/>
        </w:rPr>
      </w:pPr>
      <w:r w:rsidRPr="00325037">
        <w:rPr>
          <w:rFonts w:ascii="Arial" w:hAnsi="Arial" w:cs="Arial"/>
          <w:i/>
          <w:sz w:val="20"/>
          <w:szCs w:val="20"/>
        </w:rPr>
        <w:t>Classification: OFFICIAL</w:t>
      </w:r>
    </w:p>
    <w:p w14:paraId="46A7201F" w14:textId="77777777" w:rsidR="002E12FF" w:rsidRPr="00325037" w:rsidRDefault="002E12FF" w:rsidP="002E12FF">
      <w:pPr>
        <w:rPr>
          <w:rFonts w:ascii="Arial" w:hAnsi="Arial" w:cs="Arial"/>
          <w:i/>
          <w:sz w:val="20"/>
          <w:szCs w:val="20"/>
        </w:rPr>
      </w:pPr>
      <w:r w:rsidRPr="00325037">
        <w:rPr>
          <w:rFonts w:ascii="Arial" w:hAnsi="Arial" w:cs="Arial"/>
          <w:i/>
          <w:sz w:val="20"/>
          <w:szCs w:val="20"/>
        </w:rPr>
        <w:t>NHS England Publications Gateway Reference: 08659</w:t>
      </w:r>
    </w:p>
    <w:p w14:paraId="46A72020" w14:textId="77777777" w:rsidR="0065099C" w:rsidRPr="00325037" w:rsidRDefault="0065099C" w:rsidP="002E12FF">
      <w:pPr>
        <w:rPr>
          <w:rFonts w:ascii="Arial" w:hAnsi="Arial" w:cs="Arial"/>
          <w:sz w:val="20"/>
          <w:szCs w:val="20"/>
        </w:rPr>
      </w:pPr>
    </w:p>
    <w:sectPr w:rsidR="0065099C" w:rsidRPr="00325037" w:rsidSect="00325037">
      <w:headerReference w:type="default" r:id="rId13"/>
      <w:pgSz w:w="12240" w:h="15840"/>
      <w:pgMar w:top="1440" w:right="1183"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DFF43" w14:textId="77777777" w:rsidR="003940C4" w:rsidRDefault="003940C4" w:rsidP="002E12FF">
      <w:r>
        <w:separator/>
      </w:r>
    </w:p>
  </w:endnote>
  <w:endnote w:type="continuationSeparator" w:id="0">
    <w:p w14:paraId="57FF54A3" w14:textId="77777777" w:rsidR="003940C4" w:rsidRDefault="003940C4" w:rsidP="002E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4CA9B" w14:textId="77777777" w:rsidR="003940C4" w:rsidRDefault="003940C4" w:rsidP="002E12FF">
      <w:r>
        <w:separator/>
      </w:r>
    </w:p>
  </w:footnote>
  <w:footnote w:type="continuationSeparator" w:id="0">
    <w:p w14:paraId="18B89FBA" w14:textId="77777777" w:rsidR="003940C4" w:rsidRDefault="003940C4" w:rsidP="002E1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2025" w14:textId="77777777" w:rsidR="002E12FF" w:rsidRDefault="002E12FF">
    <w:pPr>
      <w:pStyle w:val="Header"/>
    </w:pPr>
  </w:p>
  <w:p w14:paraId="46A72026" w14:textId="77777777" w:rsidR="002E12FF" w:rsidRDefault="002E12FF">
    <w:pPr>
      <w:pStyle w:val="Header"/>
    </w:pPr>
    <w:r w:rsidRPr="00573022">
      <w:rPr>
        <w:noProof/>
        <w:lang w:val="en-GB" w:eastAsia="en-GB"/>
      </w:rPr>
      <w:drawing>
        <wp:inline distT="0" distB="0" distL="0" distR="0" wp14:anchorId="46A72027" wp14:editId="46A72028">
          <wp:extent cx="3992880" cy="766769"/>
          <wp:effectExtent l="0" t="0" r="7620" b="0"/>
          <wp:docPr id="11" name="Picture 11" descr="Frimley Health and Care logo Final RGB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Frimley Health and Care logo Final RGB HIGH res.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994498" cy="767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855B3"/>
    <w:multiLevelType w:val="hybridMultilevel"/>
    <w:tmpl w:val="DA8E0148"/>
    <w:lvl w:ilvl="0" w:tplc="65829C74">
      <w:start w:val="4"/>
      <w:numFmt w:val="decimal"/>
      <w:lvlText w:val="%1."/>
      <w:lvlJc w:val="left"/>
      <w:pPr>
        <w:ind w:left="827" w:hanging="360"/>
        <w:jc w:val="left"/>
      </w:pPr>
      <w:rPr>
        <w:rFonts w:ascii="Times New Roman" w:eastAsia="Times New Roman" w:hAnsi="Times New Roman" w:cs="Times New Roman" w:hint="default"/>
        <w:w w:val="110"/>
        <w:sz w:val="24"/>
        <w:szCs w:val="24"/>
      </w:rPr>
    </w:lvl>
    <w:lvl w:ilvl="1" w:tplc="9CC84512">
      <w:numFmt w:val="bullet"/>
      <w:lvlText w:val="•"/>
      <w:lvlJc w:val="left"/>
      <w:pPr>
        <w:ind w:left="1642" w:hanging="360"/>
      </w:pPr>
      <w:rPr>
        <w:rFonts w:hint="default"/>
      </w:rPr>
    </w:lvl>
    <w:lvl w:ilvl="2" w:tplc="4C6AF08E">
      <w:numFmt w:val="bullet"/>
      <w:lvlText w:val="•"/>
      <w:lvlJc w:val="left"/>
      <w:pPr>
        <w:ind w:left="2465" w:hanging="360"/>
      </w:pPr>
      <w:rPr>
        <w:rFonts w:hint="default"/>
      </w:rPr>
    </w:lvl>
    <w:lvl w:ilvl="3" w:tplc="3B245668">
      <w:numFmt w:val="bullet"/>
      <w:lvlText w:val="•"/>
      <w:lvlJc w:val="left"/>
      <w:pPr>
        <w:ind w:left="3287" w:hanging="360"/>
      </w:pPr>
      <w:rPr>
        <w:rFonts w:hint="default"/>
      </w:rPr>
    </w:lvl>
    <w:lvl w:ilvl="4" w:tplc="6BDC3CC6">
      <w:numFmt w:val="bullet"/>
      <w:lvlText w:val="•"/>
      <w:lvlJc w:val="left"/>
      <w:pPr>
        <w:ind w:left="4110" w:hanging="360"/>
      </w:pPr>
      <w:rPr>
        <w:rFonts w:hint="default"/>
      </w:rPr>
    </w:lvl>
    <w:lvl w:ilvl="5" w:tplc="0A943F38">
      <w:numFmt w:val="bullet"/>
      <w:lvlText w:val="•"/>
      <w:lvlJc w:val="left"/>
      <w:pPr>
        <w:ind w:left="4932" w:hanging="360"/>
      </w:pPr>
      <w:rPr>
        <w:rFonts w:hint="default"/>
      </w:rPr>
    </w:lvl>
    <w:lvl w:ilvl="6" w:tplc="9502E148">
      <w:numFmt w:val="bullet"/>
      <w:lvlText w:val="•"/>
      <w:lvlJc w:val="left"/>
      <w:pPr>
        <w:ind w:left="5755" w:hanging="360"/>
      </w:pPr>
      <w:rPr>
        <w:rFonts w:hint="default"/>
      </w:rPr>
    </w:lvl>
    <w:lvl w:ilvl="7" w:tplc="309AD40C">
      <w:numFmt w:val="bullet"/>
      <w:lvlText w:val="•"/>
      <w:lvlJc w:val="left"/>
      <w:pPr>
        <w:ind w:left="6577" w:hanging="360"/>
      </w:pPr>
      <w:rPr>
        <w:rFonts w:hint="default"/>
      </w:rPr>
    </w:lvl>
    <w:lvl w:ilvl="8" w:tplc="57ACF19C">
      <w:numFmt w:val="bullet"/>
      <w:lvlText w:val="•"/>
      <w:lvlJc w:val="left"/>
      <w:pPr>
        <w:ind w:left="7400" w:hanging="360"/>
      </w:pPr>
      <w:rPr>
        <w:rFonts w:hint="default"/>
      </w:rPr>
    </w:lvl>
  </w:abstractNum>
  <w:abstractNum w:abstractNumId="1" w15:restartNumberingAfterBreak="0">
    <w:nsid w:val="37EA3A8A"/>
    <w:multiLevelType w:val="multilevel"/>
    <w:tmpl w:val="5EA41A5C"/>
    <w:lvl w:ilvl="0">
      <w:start w:val="1"/>
      <w:numFmt w:val="decimal"/>
      <w:lvlText w:val="%1"/>
      <w:lvlJc w:val="left"/>
      <w:pPr>
        <w:ind w:left="107" w:hanging="602"/>
        <w:jc w:val="left"/>
      </w:pPr>
      <w:rPr>
        <w:rFonts w:hint="default"/>
      </w:rPr>
    </w:lvl>
    <w:lvl w:ilvl="1">
      <w:start w:val="3"/>
      <w:numFmt w:val="decimal"/>
      <w:lvlText w:val="%1.%2"/>
      <w:lvlJc w:val="left"/>
      <w:pPr>
        <w:ind w:left="107" w:hanging="602"/>
        <w:jc w:val="left"/>
      </w:pPr>
      <w:rPr>
        <w:rFonts w:hint="default"/>
      </w:rPr>
    </w:lvl>
    <w:lvl w:ilvl="2">
      <w:start w:val="1"/>
      <w:numFmt w:val="decimal"/>
      <w:lvlText w:val="%1.%2.%3"/>
      <w:lvlJc w:val="left"/>
      <w:pPr>
        <w:ind w:left="107" w:hanging="602"/>
        <w:jc w:val="left"/>
      </w:pPr>
      <w:rPr>
        <w:rFonts w:ascii="Times New Roman" w:eastAsia="Times New Roman" w:hAnsi="Times New Roman" w:cs="Times New Roman" w:hint="default"/>
        <w:spacing w:val="-2"/>
        <w:w w:val="110"/>
        <w:sz w:val="24"/>
        <w:szCs w:val="24"/>
      </w:rPr>
    </w:lvl>
    <w:lvl w:ilvl="3">
      <w:start w:val="1"/>
      <w:numFmt w:val="decimal"/>
      <w:lvlText w:val="%4."/>
      <w:lvlJc w:val="left"/>
      <w:pPr>
        <w:ind w:left="827" w:hanging="360"/>
        <w:jc w:val="left"/>
      </w:pPr>
      <w:rPr>
        <w:rFonts w:ascii="Times New Roman" w:eastAsia="Times New Roman" w:hAnsi="Times New Roman" w:cs="Times New Roman" w:hint="default"/>
        <w:w w:val="110"/>
        <w:sz w:val="24"/>
        <w:szCs w:val="24"/>
      </w:rPr>
    </w:lvl>
    <w:lvl w:ilvl="4">
      <w:numFmt w:val="bullet"/>
      <w:lvlText w:val="•"/>
      <w:lvlJc w:val="left"/>
      <w:pPr>
        <w:ind w:left="3561" w:hanging="360"/>
      </w:pPr>
      <w:rPr>
        <w:rFonts w:hint="default"/>
      </w:rPr>
    </w:lvl>
    <w:lvl w:ilvl="5">
      <w:numFmt w:val="bullet"/>
      <w:lvlText w:val="•"/>
      <w:lvlJc w:val="left"/>
      <w:pPr>
        <w:ind w:left="4475" w:hanging="360"/>
      </w:pPr>
      <w:rPr>
        <w:rFonts w:hint="default"/>
      </w:rPr>
    </w:lvl>
    <w:lvl w:ilvl="6">
      <w:numFmt w:val="bullet"/>
      <w:lvlText w:val="•"/>
      <w:lvlJc w:val="left"/>
      <w:pPr>
        <w:ind w:left="5389" w:hanging="360"/>
      </w:pPr>
      <w:rPr>
        <w:rFonts w:hint="default"/>
      </w:rPr>
    </w:lvl>
    <w:lvl w:ilvl="7">
      <w:numFmt w:val="bullet"/>
      <w:lvlText w:val="•"/>
      <w:lvlJc w:val="left"/>
      <w:pPr>
        <w:ind w:left="6303" w:hanging="360"/>
      </w:pPr>
      <w:rPr>
        <w:rFonts w:hint="default"/>
      </w:rPr>
    </w:lvl>
    <w:lvl w:ilvl="8">
      <w:numFmt w:val="bullet"/>
      <w:lvlText w:val="•"/>
      <w:lvlJc w:val="left"/>
      <w:pPr>
        <w:ind w:left="7217" w:hanging="360"/>
      </w:pPr>
      <w:rPr>
        <w:rFonts w:hint="default"/>
      </w:rPr>
    </w:lvl>
  </w:abstractNum>
  <w:abstractNum w:abstractNumId="2" w15:restartNumberingAfterBreak="0">
    <w:nsid w:val="54A32F1D"/>
    <w:multiLevelType w:val="hybridMultilevel"/>
    <w:tmpl w:val="2F869FD2"/>
    <w:lvl w:ilvl="0" w:tplc="A53C7052">
      <w:numFmt w:val="bullet"/>
      <w:lvlText w:val="□"/>
      <w:lvlJc w:val="left"/>
      <w:pPr>
        <w:ind w:left="815" w:hanging="281"/>
      </w:pPr>
      <w:rPr>
        <w:rFonts w:ascii="Times New Roman" w:eastAsia="Times New Roman" w:hAnsi="Times New Roman" w:cs="Times New Roman" w:hint="default"/>
        <w:w w:val="75"/>
        <w:sz w:val="24"/>
        <w:szCs w:val="24"/>
      </w:rPr>
    </w:lvl>
    <w:lvl w:ilvl="1" w:tplc="6674DFE6">
      <w:numFmt w:val="bullet"/>
      <w:lvlText w:val="•"/>
      <w:lvlJc w:val="left"/>
      <w:pPr>
        <w:ind w:left="1642" w:hanging="281"/>
      </w:pPr>
      <w:rPr>
        <w:rFonts w:hint="default"/>
      </w:rPr>
    </w:lvl>
    <w:lvl w:ilvl="2" w:tplc="0DD4DE08">
      <w:numFmt w:val="bullet"/>
      <w:lvlText w:val="•"/>
      <w:lvlJc w:val="left"/>
      <w:pPr>
        <w:ind w:left="2465" w:hanging="281"/>
      </w:pPr>
      <w:rPr>
        <w:rFonts w:hint="default"/>
      </w:rPr>
    </w:lvl>
    <w:lvl w:ilvl="3" w:tplc="7E40C4DE">
      <w:numFmt w:val="bullet"/>
      <w:lvlText w:val="•"/>
      <w:lvlJc w:val="left"/>
      <w:pPr>
        <w:ind w:left="3287" w:hanging="281"/>
      </w:pPr>
      <w:rPr>
        <w:rFonts w:hint="default"/>
      </w:rPr>
    </w:lvl>
    <w:lvl w:ilvl="4" w:tplc="0910F202">
      <w:numFmt w:val="bullet"/>
      <w:lvlText w:val="•"/>
      <w:lvlJc w:val="left"/>
      <w:pPr>
        <w:ind w:left="4110" w:hanging="281"/>
      </w:pPr>
      <w:rPr>
        <w:rFonts w:hint="default"/>
      </w:rPr>
    </w:lvl>
    <w:lvl w:ilvl="5" w:tplc="D430E334">
      <w:numFmt w:val="bullet"/>
      <w:lvlText w:val="•"/>
      <w:lvlJc w:val="left"/>
      <w:pPr>
        <w:ind w:left="4932" w:hanging="281"/>
      </w:pPr>
      <w:rPr>
        <w:rFonts w:hint="default"/>
      </w:rPr>
    </w:lvl>
    <w:lvl w:ilvl="6" w:tplc="E1B0D2C2">
      <w:numFmt w:val="bullet"/>
      <w:lvlText w:val="•"/>
      <w:lvlJc w:val="left"/>
      <w:pPr>
        <w:ind w:left="5755" w:hanging="281"/>
      </w:pPr>
      <w:rPr>
        <w:rFonts w:hint="default"/>
      </w:rPr>
    </w:lvl>
    <w:lvl w:ilvl="7" w:tplc="D5ACD322">
      <w:numFmt w:val="bullet"/>
      <w:lvlText w:val="•"/>
      <w:lvlJc w:val="left"/>
      <w:pPr>
        <w:ind w:left="6577" w:hanging="281"/>
      </w:pPr>
      <w:rPr>
        <w:rFonts w:hint="default"/>
      </w:rPr>
    </w:lvl>
    <w:lvl w:ilvl="8" w:tplc="71CAB7BA">
      <w:numFmt w:val="bullet"/>
      <w:lvlText w:val="•"/>
      <w:lvlJc w:val="left"/>
      <w:pPr>
        <w:ind w:left="7400" w:hanging="281"/>
      </w:pPr>
      <w:rPr>
        <w:rFonts w:hint="default"/>
      </w:rPr>
    </w:lvl>
  </w:abstractNum>
  <w:abstractNum w:abstractNumId="3" w15:restartNumberingAfterBreak="0">
    <w:nsid w:val="5D2F14AE"/>
    <w:multiLevelType w:val="hybridMultilevel"/>
    <w:tmpl w:val="0B923DB0"/>
    <w:lvl w:ilvl="0" w:tplc="D7DCADFE">
      <w:start w:val="9"/>
      <w:numFmt w:val="decimal"/>
      <w:lvlText w:val="%1"/>
      <w:lvlJc w:val="left"/>
      <w:pPr>
        <w:ind w:left="218" w:hanging="156"/>
        <w:jc w:val="left"/>
      </w:pPr>
      <w:rPr>
        <w:rFonts w:hint="default"/>
        <w:w w:val="111"/>
        <w:position w:val="8"/>
      </w:rPr>
    </w:lvl>
    <w:lvl w:ilvl="1" w:tplc="575494F2">
      <w:start w:val="1"/>
      <w:numFmt w:val="decimal"/>
      <w:lvlText w:val="%2."/>
      <w:lvlJc w:val="left"/>
      <w:pPr>
        <w:ind w:left="1159" w:hanging="360"/>
        <w:jc w:val="left"/>
      </w:pPr>
      <w:rPr>
        <w:rFonts w:ascii="Times New Roman" w:eastAsia="Times New Roman" w:hAnsi="Times New Roman" w:cs="Times New Roman" w:hint="default"/>
        <w:w w:val="110"/>
        <w:sz w:val="24"/>
        <w:szCs w:val="24"/>
      </w:rPr>
    </w:lvl>
    <w:lvl w:ilvl="2" w:tplc="B2363CB2">
      <w:numFmt w:val="bullet"/>
      <w:lvlText w:val="•"/>
      <w:lvlJc w:val="left"/>
      <w:pPr>
        <w:ind w:left="2076" w:hanging="360"/>
      </w:pPr>
      <w:rPr>
        <w:rFonts w:hint="default"/>
      </w:rPr>
    </w:lvl>
    <w:lvl w:ilvl="3" w:tplc="DB7840C6">
      <w:numFmt w:val="bullet"/>
      <w:lvlText w:val="•"/>
      <w:lvlJc w:val="left"/>
      <w:pPr>
        <w:ind w:left="2992" w:hanging="360"/>
      </w:pPr>
      <w:rPr>
        <w:rFonts w:hint="default"/>
      </w:rPr>
    </w:lvl>
    <w:lvl w:ilvl="4" w:tplc="4F04E326">
      <w:numFmt w:val="bullet"/>
      <w:lvlText w:val="•"/>
      <w:lvlJc w:val="left"/>
      <w:pPr>
        <w:ind w:left="3908" w:hanging="360"/>
      </w:pPr>
      <w:rPr>
        <w:rFonts w:hint="default"/>
      </w:rPr>
    </w:lvl>
    <w:lvl w:ilvl="5" w:tplc="DE285AAE">
      <w:numFmt w:val="bullet"/>
      <w:lvlText w:val="•"/>
      <w:lvlJc w:val="left"/>
      <w:pPr>
        <w:ind w:left="4825" w:hanging="360"/>
      </w:pPr>
      <w:rPr>
        <w:rFonts w:hint="default"/>
      </w:rPr>
    </w:lvl>
    <w:lvl w:ilvl="6" w:tplc="45CC091C">
      <w:numFmt w:val="bullet"/>
      <w:lvlText w:val="•"/>
      <w:lvlJc w:val="left"/>
      <w:pPr>
        <w:ind w:left="5741" w:hanging="360"/>
      </w:pPr>
      <w:rPr>
        <w:rFonts w:hint="default"/>
      </w:rPr>
    </w:lvl>
    <w:lvl w:ilvl="7" w:tplc="B8786294">
      <w:numFmt w:val="bullet"/>
      <w:lvlText w:val="•"/>
      <w:lvlJc w:val="left"/>
      <w:pPr>
        <w:ind w:left="6657" w:hanging="360"/>
      </w:pPr>
      <w:rPr>
        <w:rFonts w:hint="default"/>
      </w:rPr>
    </w:lvl>
    <w:lvl w:ilvl="8" w:tplc="5EB0DB92">
      <w:numFmt w:val="bullet"/>
      <w:lvlText w:val="•"/>
      <w:lvlJc w:val="left"/>
      <w:pPr>
        <w:ind w:left="7573" w:hanging="360"/>
      </w:pPr>
      <w:rPr>
        <w:rFonts w:hint="default"/>
      </w:rPr>
    </w:lvl>
  </w:abstractNum>
  <w:abstractNum w:abstractNumId="4" w15:restartNumberingAfterBreak="0">
    <w:nsid w:val="693A31B8"/>
    <w:multiLevelType w:val="hybridMultilevel"/>
    <w:tmpl w:val="4AF401EC"/>
    <w:lvl w:ilvl="0" w:tplc="100AB976">
      <w:start w:val="1"/>
      <w:numFmt w:val="upperLetter"/>
      <w:lvlText w:val="%1."/>
      <w:lvlJc w:val="left"/>
      <w:pPr>
        <w:ind w:left="218" w:hanging="310"/>
        <w:jc w:val="left"/>
      </w:pPr>
      <w:rPr>
        <w:rFonts w:ascii="Times New Roman" w:eastAsia="Times New Roman" w:hAnsi="Times New Roman" w:cs="Times New Roman" w:hint="default"/>
        <w:spacing w:val="-6"/>
        <w:w w:val="99"/>
        <w:sz w:val="24"/>
        <w:szCs w:val="24"/>
      </w:rPr>
    </w:lvl>
    <w:lvl w:ilvl="1" w:tplc="891ECDCC">
      <w:numFmt w:val="bullet"/>
      <w:lvlText w:val="•"/>
      <w:lvlJc w:val="left"/>
      <w:pPr>
        <w:ind w:left="1138" w:hanging="310"/>
      </w:pPr>
      <w:rPr>
        <w:rFonts w:hint="default"/>
      </w:rPr>
    </w:lvl>
    <w:lvl w:ilvl="2" w:tplc="C212A108">
      <w:numFmt w:val="bullet"/>
      <w:lvlText w:val="•"/>
      <w:lvlJc w:val="left"/>
      <w:pPr>
        <w:ind w:left="2057" w:hanging="310"/>
      </w:pPr>
      <w:rPr>
        <w:rFonts w:hint="default"/>
      </w:rPr>
    </w:lvl>
    <w:lvl w:ilvl="3" w:tplc="2A7A1890">
      <w:numFmt w:val="bullet"/>
      <w:lvlText w:val="•"/>
      <w:lvlJc w:val="left"/>
      <w:pPr>
        <w:ind w:left="2975" w:hanging="310"/>
      </w:pPr>
      <w:rPr>
        <w:rFonts w:hint="default"/>
      </w:rPr>
    </w:lvl>
    <w:lvl w:ilvl="4" w:tplc="CFAC6E8C">
      <w:numFmt w:val="bullet"/>
      <w:lvlText w:val="•"/>
      <w:lvlJc w:val="left"/>
      <w:pPr>
        <w:ind w:left="3894" w:hanging="310"/>
      </w:pPr>
      <w:rPr>
        <w:rFonts w:hint="default"/>
      </w:rPr>
    </w:lvl>
    <w:lvl w:ilvl="5" w:tplc="535C8206">
      <w:numFmt w:val="bullet"/>
      <w:lvlText w:val="•"/>
      <w:lvlJc w:val="left"/>
      <w:pPr>
        <w:ind w:left="4813" w:hanging="310"/>
      </w:pPr>
      <w:rPr>
        <w:rFonts w:hint="default"/>
      </w:rPr>
    </w:lvl>
    <w:lvl w:ilvl="6" w:tplc="B41C0758">
      <w:numFmt w:val="bullet"/>
      <w:lvlText w:val="•"/>
      <w:lvlJc w:val="left"/>
      <w:pPr>
        <w:ind w:left="5731" w:hanging="310"/>
      </w:pPr>
      <w:rPr>
        <w:rFonts w:hint="default"/>
      </w:rPr>
    </w:lvl>
    <w:lvl w:ilvl="7" w:tplc="0A68A112">
      <w:numFmt w:val="bullet"/>
      <w:lvlText w:val="•"/>
      <w:lvlJc w:val="left"/>
      <w:pPr>
        <w:ind w:left="6650" w:hanging="310"/>
      </w:pPr>
      <w:rPr>
        <w:rFonts w:hint="default"/>
      </w:rPr>
    </w:lvl>
    <w:lvl w:ilvl="8" w:tplc="B6D6E77C">
      <w:numFmt w:val="bullet"/>
      <w:lvlText w:val="•"/>
      <w:lvlJc w:val="left"/>
      <w:pPr>
        <w:ind w:left="7569" w:hanging="310"/>
      </w:pPr>
      <w:rPr>
        <w:rFonts w:hint="default"/>
      </w:rPr>
    </w:lvl>
  </w:abstractNum>
  <w:abstractNum w:abstractNumId="5" w15:restartNumberingAfterBreak="0">
    <w:nsid w:val="7B86255A"/>
    <w:multiLevelType w:val="hybridMultilevel"/>
    <w:tmpl w:val="4A7CCEA0"/>
    <w:lvl w:ilvl="0" w:tplc="641E4172">
      <w:numFmt w:val="bullet"/>
      <w:lvlText w:val="□"/>
      <w:lvlJc w:val="left"/>
      <w:pPr>
        <w:ind w:left="827" w:hanging="361"/>
      </w:pPr>
      <w:rPr>
        <w:rFonts w:ascii="Times New Roman" w:eastAsia="Times New Roman" w:hAnsi="Times New Roman" w:cs="Times New Roman" w:hint="default"/>
        <w:w w:val="75"/>
        <w:sz w:val="24"/>
        <w:szCs w:val="24"/>
      </w:rPr>
    </w:lvl>
    <w:lvl w:ilvl="1" w:tplc="151E62EA">
      <w:numFmt w:val="bullet"/>
      <w:lvlText w:val="•"/>
      <w:lvlJc w:val="left"/>
      <w:pPr>
        <w:ind w:left="1642" w:hanging="361"/>
      </w:pPr>
      <w:rPr>
        <w:rFonts w:hint="default"/>
      </w:rPr>
    </w:lvl>
    <w:lvl w:ilvl="2" w:tplc="104C71D8">
      <w:numFmt w:val="bullet"/>
      <w:lvlText w:val="•"/>
      <w:lvlJc w:val="left"/>
      <w:pPr>
        <w:ind w:left="2465" w:hanging="361"/>
      </w:pPr>
      <w:rPr>
        <w:rFonts w:hint="default"/>
      </w:rPr>
    </w:lvl>
    <w:lvl w:ilvl="3" w:tplc="FB2EA6B4">
      <w:numFmt w:val="bullet"/>
      <w:lvlText w:val="•"/>
      <w:lvlJc w:val="left"/>
      <w:pPr>
        <w:ind w:left="3287" w:hanging="361"/>
      </w:pPr>
      <w:rPr>
        <w:rFonts w:hint="default"/>
      </w:rPr>
    </w:lvl>
    <w:lvl w:ilvl="4" w:tplc="BF3AA456">
      <w:numFmt w:val="bullet"/>
      <w:lvlText w:val="•"/>
      <w:lvlJc w:val="left"/>
      <w:pPr>
        <w:ind w:left="4110" w:hanging="361"/>
      </w:pPr>
      <w:rPr>
        <w:rFonts w:hint="default"/>
      </w:rPr>
    </w:lvl>
    <w:lvl w:ilvl="5" w:tplc="FEA6DE94">
      <w:numFmt w:val="bullet"/>
      <w:lvlText w:val="•"/>
      <w:lvlJc w:val="left"/>
      <w:pPr>
        <w:ind w:left="4932" w:hanging="361"/>
      </w:pPr>
      <w:rPr>
        <w:rFonts w:hint="default"/>
      </w:rPr>
    </w:lvl>
    <w:lvl w:ilvl="6" w:tplc="56AEBF00">
      <w:numFmt w:val="bullet"/>
      <w:lvlText w:val="•"/>
      <w:lvlJc w:val="left"/>
      <w:pPr>
        <w:ind w:left="5755" w:hanging="361"/>
      </w:pPr>
      <w:rPr>
        <w:rFonts w:hint="default"/>
      </w:rPr>
    </w:lvl>
    <w:lvl w:ilvl="7" w:tplc="DC2E6394">
      <w:numFmt w:val="bullet"/>
      <w:lvlText w:val="•"/>
      <w:lvlJc w:val="left"/>
      <w:pPr>
        <w:ind w:left="6577" w:hanging="361"/>
      </w:pPr>
      <w:rPr>
        <w:rFonts w:hint="default"/>
      </w:rPr>
    </w:lvl>
    <w:lvl w:ilvl="8" w:tplc="94CE064E">
      <w:numFmt w:val="bullet"/>
      <w:lvlText w:val="•"/>
      <w:lvlJc w:val="left"/>
      <w:pPr>
        <w:ind w:left="7400" w:hanging="361"/>
      </w:pPr>
      <w:rPr>
        <w:rFonts w:hint="default"/>
      </w:rPr>
    </w:lvl>
  </w:abstractNum>
  <w:num w:numId="1" w16cid:durableId="1418405466">
    <w:abstractNumId w:val="0"/>
  </w:num>
  <w:num w:numId="2" w16cid:durableId="902331619">
    <w:abstractNumId w:val="1"/>
  </w:num>
  <w:num w:numId="3" w16cid:durableId="1404060627">
    <w:abstractNumId w:val="2"/>
  </w:num>
  <w:num w:numId="4" w16cid:durableId="1203129646">
    <w:abstractNumId w:val="5"/>
  </w:num>
  <w:num w:numId="5" w16cid:durableId="1936816095">
    <w:abstractNumId w:val="3"/>
  </w:num>
  <w:num w:numId="6" w16cid:durableId="2042246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770E"/>
    <w:rsid w:val="0027770E"/>
    <w:rsid w:val="002E12FF"/>
    <w:rsid w:val="00325037"/>
    <w:rsid w:val="003940C4"/>
    <w:rsid w:val="0065099C"/>
    <w:rsid w:val="0069260D"/>
    <w:rsid w:val="00887F0F"/>
    <w:rsid w:val="00933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71FC8"/>
  <w15:docId w15:val="{B1C42E1A-31E0-4E24-8AAF-7FE66042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27770E"/>
    <w:pPr>
      <w:widowControl w:val="0"/>
      <w:autoSpaceDE w:val="0"/>
      <w:autoSpaceDN w:val="0"/>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7770E"/>
    <w:rPr>
      <w:sz w:val="24"/>
      <w:szCs w:val="24"/>
    </w:rPr>
  </w:style>
  <w:style w:type="character" w:customStyle="1" w:styleId="BodyTextChar">
    <w:name w:val="Body Text Char"/>
    <w:basedOn w:val="DefaultParagraphFont"/>
    <w:link w:val="BodyText"/>
    <w:uiPriority w:val="1"/>
    <w:rsid w:val="0027770E"/>
    <w:rPr>
      <w:sz w:val="24"/>
      <w:szCs w:val="24"/>
      <w:lang w:val="en-US" w:eastAsia="en-US"/>
    </w:rPr>
  </w:style>
  <w:style w:type="paragraph" w:styleId="ListParagraph">
    <w:name w:val="List Paragraph"/>
    <w:basedOn w:val="Normal"/>
    <w:uiPriority w:val="1"/>
    <w:qFormat/>
    <w:rsid w:val="0027770E"/>
    <w:pPr>
      <w:ind w:left="645" w:hanging="360"/>
    </w:pPr>
  </w:style>
  <w:style w:type="paragraph" w:customStyle="1" w:styleId="TableParagraph">
    <w:name w:val="Table Paragraph"/>
    <w:basedOn w:val="Normal"/>
    <w:uiPriority w:val="1"/>
    <w:qFormat/>
    <w:rsid w:val="0027770E"/>
  </w:style>
  <w:style w:type="character" w:styleId="Hyperlink">
    <w:name w:val="Hyperlink"/>
    <w:basedOn w:val="DefaultParagraphFont"/>
    <w:rsid w:val="00887F0F"/>
    <w:rPr>
      <w:color w:val="0000FF" w:themeColor="hyperlink"/>
      <w:u w:val="single"/>
    </w:rPr>
  </w:style>
  <w:style w:type="paragraph" w:styleId="Header">
    <w:name w:val="header"/>
    <w:basedOn w:val="Normal"/>
    <w:link w:val="HeaderChar"/>
    <w:uiPriority w:val="99"/>
    <w:rsid w:val="002E12FF"/>
    <w:pPr>
      <w:tabs>
        <w:tab w:val="center" w:pos="4513"/>
        <w:tab w:val="right" w:pos="9026"/>
      </w:tabs>
    </w:pPr>
  </w:style>
  <w:style w:type="character" w:customStyle="1" w:styleId="HeaderChar">
    <w:name w:val="Header Char"/>
    <w:basedOn w:val="DefaultParagraphFont"/>
    <w:link w:val="Header"/>
    <w:uiPriority w:val="99"/>
    <w:rsid w:val="002E12FF"/>
    <w:rPr>
      <w:sz w:val="22"/>
      <w:szCs w:val="22"/>
      <w:lang w:val="en-US" w:eastAsia="en-US"/>
    </w:rPr>
  </w:style>
  <w:style w:type="paragraph" w:styleId="Footer">
    <w:name w:val="footer"/>
    <w:basedOn w:val="Normal"/>
    <w:link w:val="FooterChar"/>
    <w:rsid w:val="002E12FF"/>
    <w:pPr>
      <w:tabs>
        <w:tab w:val="center" w:pos="4513"/>
        <w:tab w:val="right" w:pos="9026"/>
      </w:tabs>
    </w:pPr>
  </w:style>
  <w:style w:type="character" w:customStyle="1" w:styleId="FooterChar">
    <w:name w:val="Footer Char"/>
    <w:basedOn w:val="DefaultParagraphFont"/>
    <w:link w:val="Footer"/>
    <w:rsid w:val="002E12FF"/>
    <w:rPr>
      <w:sz w:val="22"/>
      <w:szCs w:val="22"/>
      <w:lang w:val="en-US" w:eastAsia="en-US"/>
    </w:rPr>
  </w:style>
  <w:style w:type="paragraph" w:styleId="BalloonText">
    <w:name w:val="Balloon Text"/>
    <w:basedOn w:val="Normal"/>
    <w:link w:val="BalloonTextChar"/>
    <w:rsid w:val="002E12FF"/>
    <w:rPr>
      <w:rFonts w:ascii="Tahoma" w:hAnsi="Tahoma" w:cs="Tahoma"/>
      <w:sz w:val="16"/>
      <w:szCs w:val="16"/>
    </w:rPr>
  </w:style>
  <w:style w:type="character" w:customStyle="1" w:styleId="BalloonTextChar">
    <w:name w:val="Balloon Text Char"/>
    <w:basedOn w:val="DefaultParagraphFont"/>
    <w:link w:val="BalloonText"/>
    <w:rsid w:val="002E12F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publication/evidence-based-interventions-guidance-for-clinical-commissioning-groups-ccg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omrc.org.uk/ebi/wp-content/uploads/2021/05/ebi-statutory-guidance.pdf" TargetMode="External"/><Relationship Id="rId12" Type="http://schemas.openxmlformats.org/officeDocument/2006/relationships/hyperlink" Target="http://www.rcoa.ac.uk/docu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kssb.com/improv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ice.org.uk/guidance/ng59" TargetMode="External"/><Relationship Id="rId4" Type="http://schemas.openxmlformats.org/officeDocument/2006/relationships/webSettings" Target="webSettings.xml"/><Relationship Id="rId9" Type="http://schemas.openxmlformats.org/officeDocument/2006/relationships/hyperlink" Target="http://www.nice.org.uk/guidance/ng5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Frimley Park Hospital NHS Foundation Trust</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Hall - Senior Contracts Manager</dc:creator>
  <cp:lastModifiedBy>HALL, Karen (FRIMLEY HEALTH NHS FOUNDATION TRUST)</cp:lastModifiedBy>
  <cp:revision>2</cp:revision>
  <dcterms:created xsi:type="dcterms:W3CDTF">2023-02-22T11:48:00Z</dcterms:created>
  <dcterms:modified xsi:type="dcterms:W3CDTF">2023-02-22T11:48:00Z</dcterms:modified>
</cp:coreProperties>
</file>