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E485" w14:textId="77777777" w:rsidR="0084785F" w:rsidRPr="00FF61A0" w:rsidRDefault="0084785F" w:rsidP="0084785F">
      <w:pPr>
        <w:rPr>
          <w:rFonts w:ascii="Arial" w:hAnsi="Arial" w:cs="Arial"/>
        </w:rPr>
      </w:pPr>
    </w:p>
    <w:p w14:paraId="3DE2A23A" w14:textId="621F191E" w:rsidR="0084785F" w:rsidRPr="00FF61A0" w:rsidRDefault="0084785F" w:rsidP="0084785F">
      <w:pPr>
        <w:rPr>
          <w:rFonts w:ascii="Arial" w:hAnsi="Arial" w:cs="Arial"/>
          <w:i/>
          <w:sz w:val="20"/>
          <w:szCs w:val="20"/>
        </w:rPr>
      </w:pPr>
      <w:r w:rsidRPr="00FF61A0">
        <w:rPr>
          <w:rFonts w:ascii="Arial" w:hAnsi="Arial" w:cs="Arial"/>
          <w:i/>
          <w:sz w:val="20"/>
          <w:szCs w:val="20"/>
        </w:rPr>
        <w:t xml:space="preserve">Extract from the below named document for ICS Implementation purposes;  </w:t>
      </w:r>
      <w:hyperlink r:id="rId7" w:history="1">
        <w:r w:rsidR="00FF61A0" w:rsidRPr="00FF61A0">
          <w:rPr>
            <w:rStyle w:val="Hyperlink"/>
            <w:rFonts w:ascii="Arial" w:hAnsi="Arial" w:cs="Arial"/>
            <w:sz w:val="20"/>
            <w:szCs w:val="20"/>
          </w:rPr>
          <w:t>Microsoft Word - EBI consultation response statutory guidance 11 Jan 2019 FINAL v2.0 CLEAN + cover sheet.docx (aomrc.org.uk)</w:t>
        </w:r>
      </w:hyperlink>
    </w:p>
    <w:p w14:paraId="3A7651BA" w14:textId="77777777" w:rsidR="0084785F" w:rsidRPr="00FF61A0" w:rsidRDefault="0084785F" w:rsidP="0084785F">
      <w:pPr>
        <w:jc w:val="center"/>
        <w:rPr>
          <w:rFonts w:ascii="Arial" w:hAnsi="Arial" w:cs="Arial"/>
        </w:rPr>
      </w:pPr>
      <w:r w:rsidRPr="00FF61A0">
        <w:rPr>
          <w:rFonts w:ascii="Arial" w:hAnsi="Arial" w:cs="Arial"/>
        </w:rPr>
        <w:softHyphen/>
      </w:r>
      <w:r w:rsidRPr="00FF61A0">
        <w:rPr>
          <w:rFonts w:ascii="Arial" w:hAnsi="Arial" w:cs="Arial"/>
        </w:rPr>
        <w:softHyphen/>
      </w:r>
      <w:r w:rsidRPr="00FF61A0">
        <w:rPr>
          <w:rFonts w:ascii="Arial" w:hAnsi="Arial" w:cs="Arial"/>
        </w:rPr>
        <w:softHyphen/>
      </w:r>
      <w:r w:rsidRPr="00FF61A0">
        <w:rPr>
          <w:rFonts w:ascii="Arial" w:hAnsi="Arial" w:cs="Arial"/>
        </w:rPr>
        <w:softHyphen/>
      </w:r>
      <w:r w:rsidRPr="00FF61A0">
        <w:rPr>
          <w:rFonts w:ascii="Arial" w:hAnsi="Arial" w:cs="Arial"/>
        </w:rPr>
        <w:softHyphen/>
      </w:r>
      <w:r w:rsidRPr="00FF61A0">
        <w:rPr>
          <w:rFonts w:ascii="Arial" w:hAnsi="Arial" w:cs="Arial"/>
        </w:rPr>
        <w:softHyphen/>
      </w:r>
      <w:r w:rsidRPr="00FF61A0">
        <w:rPr>
          <w:rFonts w:ascii="Arial" w:hAnsi="Arial" w:cs="Arial"/>
        </w:rPr>
        <w:softHyphen/>
      </w:r>
      <w:r w:rsidRPr="00FF61A0">
        <w:rPr>
          <w:rFonts w:ascii="Arial" w:hAnsi="Arial" w:cs="Arial"/>
        </w:rPr>
        <w:softHyphen/>
        <w:t>________________________________________________________________</w:t>
      </w:r>
    </w:p>
    <w:p w14:paraId="682A316C" w14:textId="77777777" w:rsidR="0084785F" w:rsidRPr="00FF61A0" w:rsidRDefault="0084785F" w:rsidP="0084785F">
      <w:pPr>
        <w:rPr>
          <w:rFonts w:ascii="Arial" w:hAnsi="Arial" w:cs="Arial"/>
        </w:rPr>
      </w:pPr>
    </w:p>
    <w:p w14:paraId="35B6E8CE" w14:textId="77777777" w:rsidR="0084785F" w:rsidRPr="00FF61A0" w:rsidRDefault="00925188" w:rsidP="0084785F">
      <w:pPr>
        <w:rPr>
          <w:rFonts w:ascii="Arial" w:hAnsi="Arial" w:cs="Arial"/>
          <w:sz w:val="24"/>
          <w:u w:val="single"/>
        </w:rPr>
      </w:pPr>
      <w:r w:rsidRPr="00FF61A0">
        <w:rPr>
          <w:rFonts w:ascii="Arial" w:hAnsi="Arial" w:cs="Arial"/>
          <w:sz w:val="24"/>
          <w:u w:val="single"/>
        </w:rPr>
        <w:t xml:space="preserve">Knee arthroscopy for patients with osteoarthritis </w:t>
      </w:r>
    </w:p>
    <w:p w14:paraId="450E083E" w14:textId="77777777" w:rsidR="0084785F" w:rsidRPr="00FF61A0" w:rsidRDefault="0084785F" w:rsidP="0084785F">
      <w:pPr>
        <w:rPr>
          <w:rFonts w:ascii="Arial" w:hAnsi="Arial" w:cs="Arial"/>
          <w:sz w:val="24"/>
          <w:u w:val="single"/>
        </w:rPr>
      </w:pPr>
    </w:p>
    <w:p w14:paraId="465F1175" w14:textId="77777777" w:rsidR="0084785F" w:rsidRPr="00FF61A0" w:rsidRDefault="00925188" w:rsidP="0084785F">
      <w:pPr>
        <w:rPr>
          <w:rFonts w:ascii="Arial" w:hAnsi="Arial" w:cs="Arial"/>
          <w:sz w:val="24"/>
          <w:u w:val="single"/>
        </w:rPr>
      </w:pPr>
      <w:r w:rsidRPr="00FF61A0">
        <w:rPr>
          <w:rFonts w:ascii="Arial" w:hAnsi="Arial" w:cs="Arial"/>
          <w:sz w:val="24"/>
          <w:u w:val="single"/>
        </w:rPr>
        <w:t xml:space="preserve">Updated description of the </w:t>
      </w:r>
      <w:r w:rsidR="0084785F" w:rsidRPr="00FF61A0">
        <w:rPr>
          <w:rFonts w:ascii="Arial" w:hAnsi="Arial" w:cs="Arial"/>
          <w:sz w:val="24"/>
          <w:u w:val="single"/>
        </w:rPr>
        <w:t>intervention</w:t>
      </w:r>
    </w:p>
    <w:p w14:paraId="482D94AA" w14:textId="77777777" w:rsidR="0084785F" w:rsidRPr="00FF61A0" w:rsidRDefault="0084785F" w:rsidP="0084785F">
      <w:pPr>
        <w:rPr>
          <w:rFonts w:ascii="Arial" w:hAnsi="Arial" w:cs="Arial"/>
        </w:rPr>
      </w:pPr>
    </w:p>
    <w:p w14:paraId="17AD0B76" w14:textId="77777777" w:rsidR="00925188" w:rsidRPr="00FF61A0" w:rsidRDefault="00925188" w:rsidP="0084785F">
      <w:pPr>
        <w:rPr>
          <w:rFonts w:ascii="Arial" w:hAnsi="Arial" w:cs="Arial"/>
        </w:rPr>
      </w:pPr>
      <w:r w:rsidRPr="00FF61A0">
        <w:rPr>
          <w:rFonts w:ascii="Arial" w:hAnsi="Arial" w:cs="Arial"/>
        </w:rPr>
        <w:t>NICE re</w:t>
      </w:r>
      <w:r w:rsidR="004F23C0" w:rsidRPr="00FF61A0">
        <w:rPr>
          <w:rFonts w:ascii="Arial" w:hAnsi="Arial" w:cs="Arial"/>
        </w:rPr>
        <w:t>commends that arthroscopic knee</w:t>
      </w:r>
      <w:r w:rsidRPr="00FF61A0">
        <w:rPr>
          <w:rFonts w:ascii="Arial" w:hAnsi="Arial" w:cs="Arial"/>
        </w:rPr>
        <w:t xml:space="preserve"> washout should not be </w:t>
      </w:r>
      <w:r w:rsidR="0084785F" w:rsidRPr="00FF61A0">
        <w:rPr>
          <w:rFonts w:ascii="Arial" w:hAnsi="Arial" w:cs="Arial"/>
        </w:rPr>
        <w:t>used as</w:t>
      </w:r>
      <w:r w:rsidRPr="00FF61A0">
        <w:rPr>
          <w:rFonts w:ascii="Arial" w:hAnsi="Arial" w:cs="Arial"/>
        </w:rPr>
        <w:t xml:space="preserve"> a treatment for patients with osteoarthritis, unless the knee locks (in which case it may be considered). More effective treatments include physiotherapy, exercise </w:t>
      </w:r>
      <w:proofErr w:type="spellStart"/>
      <w:r w:rsidRPr="00FF61A0">
        <w:rPr>
          <w:rFonts w:ascii="Arial" w:hAnsi="Arial" w:cs="Arial"/>
        </w:rPr>
        <w:t>programmes</w:t>
      </w:r>
      <w:proofErr w:type="spellEnd"/>
      <w:r w:rsidRPr="00FF61A0">
        <w:rPr>
          <w:rFonts w:ascii="Arial" w:hAnsi="Arial" w:cs="Arial"/>
        </w:rPr>
        <w:t xml:space="preserve"> like ESCAPE </w:t>
      </w:r>
      <w:r w:rsidR="0084785F" w:rsidRPr="00FF61A0">
        <w:rPr>
          <w:rFonts w:ascii="Arial" w:hAnsi="Arial" w:cs="Arial"/>
        </w:rPr>
        <w:t>pain;</w:t>
      </w:r>
      <w:r w:rsidRPr="00FF61A0">
        <w:rPr>
          <w:rFonts w:ascii="Arial" w:hAnsi="Arial" w:cs="Arial"/>
        </w:rPr>
        <w:t xml:space="preserve"> losing weight (if necessary) and pain management.10 If symptoms do not resolve, knee replacement or osteotomy are effective procedures that should be considered.</w:t>
      </w:r>
    </w:p>
    <w:p w14:paraId="649D6F34" w14:textId="77777777" w:rsidR="00925188" w:rsidRPr="00FF61A0" w:rsidRDefault="00925188" w:rsidP="0084785F">
      <w:pPr>
        <w:rPr>
          <w:rFonts w:ascii="Arial" w:hAnsi="Arial" w:cs="Arial"/>
        </w:rPr>
      </w:pPr>
    </w:p>
    <w:p w14:paraId="06C006B8" w14:textId="77777777" w:rsidR="00925188" w:rsidRPr="00FF61A0" w:rsidRDefault="00925188" w:rsidP="0084785F">
      <w:pPr>
        <w:rPr>
          <w:rFonts w:ascii="Arial" w:hAnsi="Arial" w:cs="Arial"/>
        </w:rPr>
      </w:pPr>
      <w:r w:rsidRPr="00FF61A0">
        <w:rPr>
          <w:rFonts w:ascii="Arial" w:hAnsi="Arial" w:cs="Arial"/>
        </w:rPr>
        <w:t>Updated clinical criteria</w:t>
      </w:r>
    </w:p>
    <w:p w14:paraId="0FCE78BE" w14:textId="77777777" w:rsidR="00925188" w:rsidRPr="00FF61A0" w:rsidRDefault="00925188" w:rsidP="0084785F">
      <w:pPr>
        <w:rPr>
          <w:rFonts w:ascii="Arial" w:hAnsi="Arial" w:cs="Arial"/>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8"/>
      </w:tblGrid>
      <w:tr w:rsidR="00925188" w:rsidRPr="00FF61A0" w14:paraId="7836D2CD" w14:textId="77777777" w:rsidTr="007B037D">
        <w:trPr>
          <w:trHeight w:val="275"/>
        </w:trPr>
        <w:tc>
          <w:tcPr>
            <w:tcW w:w="9498" w:type="dxa"/>
            <w:shd w:val="clear" w:color="auto" w:fill="16365D"/>
          </w:tcPr>
          <w:p w14:paraId="7EFAD7D4" w14:textId="77777777" w:rsidR="00925188" w:rsidRPr="00FF61A0" w:rsidRDefault="00925188" w:rsidP="0084785F">
            <w:pPr>
              <w:rPr>
                <w:rFonts w:ascii="Arial" w:hAnsi="Arial" w:cs="Arial"/>
              </w:rPr>
            </w:pPr>
            <w:r w:rsidRPr="00FF61A0">
              <w:rPr>
                <w:rFonts w:ascii="Arial" w:hAnsi="Arial" w:cs="Arial"/>
              </w:rPr>
              <w:t>Summary of intervention</w:t>
            </w:r>
          </w:p>
        </w:tc>
      </w:tr>
      <w:tr w:rsidR="00925188" w:rsidRPr="00FF61A0" w14:paraId="02FFE67E" w14:textId="77777777" w:rsidTr="007B037D">
        <w:trPr>
          <w:trHeight w:val="1087"/>
        </w:trPr>
        <w:tc>
          <w:tcPr>
            <w:tcW w:w="9498" w:type="dxa"/>
          </w:tcPr>
          <w:p w14:paraId="6A420D2A" w14:textId="77777777" w:rsidR="00925188" w:rsidRPr="00FF61A0" w:rsidRDefault="00925188" w:rsidP="0084785F">
            <w:pPr>
              <w:rPr>
                <w:rFonts w:ascii="Arial" w:hAnsi="Arial" w:cs="Arial"/>
              </w:rPr>
            </w:pPr>
            <w:r w:rsidRPr="00FF61A0">
              <w:rPr>
                <w:rFonts w:ascii="Arial" w:hAnsi="Arial" w:cs="Arial"/>
              </w:rPr>
              <w:t>Arthroscopic washout of th</w:t>
            </w:r>
            <w:r w:rsidR="0084785F" w:rsidRPr="00FF61A0">
              <w:rPr>
                <w:rFonts w:ascii="Arial" w:hAnsi="Arial" w:cs="Arial"/>
              </w:rPr>
              <w:t>e knee is an operation where an</w:t>
            </w:r>
            <w:r w:rsidRPr="00FF61A0">
              <w:rPr>
                <w:rFonts w:ascii="Arial" w:hAnsi="Arial" w:cs="Arial"/>
              </w:rPr>
              <w:t xml:space="preserve"> arthroscope (camera) is inserted in to the knee along with fluid. Occasionally loose debris drains out with the fluid, or debridement, (surgical removal of damaged cartilage) is performed, but the procedure does not improve symptoms or function of the knee joint.</w:t>
            </w:r>
          </w:p>
        </w:tc>
      </w:tr>
      <w:tr w:rsidR="00925188" w:rsidRPr="00FF61A0" w14:paraId="0827B743" w14:textId="77777777" w:rsidTr="007B037D">
        <w:trPr>
          <w:trHeight w:val="275"/>
        </w:trPr>
        <w:tc>
          <w:tcPr>
            <w:tcW w:w="9498" w:type="dxa"/>
            <w:shd w:val="clear" w:color="auto" w:fill="16365D"/>
          </w:tcPr>
          <w:p w14:paraId="2E3A2845" w14:textId="77777777" w:rsidR="00925188" w:rsidRPr="00FF61A0" w:rsidRDefault="00925188" w:rsidP="0084785F">
            <w:pPr>
              <w:rPr>
                <w:rFonts w:ascii="Arial" w:hAnsi="Arial" w:cs="Arial"/>
              </w:rPr>
            </w:pPr>
            <w:r w:rsidRPr="00FF61A0">
              <w:rPr>
                <w:rFonts w:ascii="Arial" w:hAnsi="Arial" w:cs="Arial"/>
              </w:rPr>
              <w:t>Number of CCG interventions in 2017/18</w:t>
            </w:r>
          </w:p>
        </w:tc>
      </w:tr>
      <w:tr w:rsidR="00925188" w:rsidRPr="00FF61A0" w14:paraId="170561BC" w14:textId="77777777" w:rsidTr="007B037D">
        <w:trPr>
          <w:trHeight w:val="272"/>
        </w:trPr>
        <w:tc>
          <w:tcPr>
            <w:tcW w:w="9498" w:type="dxa"/>
          </w:tcPr>
          <w:p w14:paraId="76AE47CC" w14:textId="77777777" w:rsidR="00925188" w:rsidRPr="00FF61A0" w:rsidRDefault="00925188" w:rsidP="0084785F">
            <w:pPr>
              <w:rPr>
                <w:rFonts w:ascii="Arial" w:hAnsi="Arial" w:cs="Arial"/>
              </w:rPr>
            </w:pPr>
            <w:r w:rsidRPr="00FF61A0">
              <w:rPr>
                <w:rFonts w:ascii="Arial" w:hAnsi="Arial" w:cs="Arial"/>
              </w:rPr>
              <w:t>3,437</w:t>
            </w:r>
          </w:p>
        </w:tc>
      </w:tr>
      <w:tr w:rsidR="00925188" w:rsidRPr="00FF61A0" w14:paraId="77DF07F9" w14:textId="77777777" w:rsidTr="007B037D">
        <w:trPr>
          <w:trHeight w:val="275"/>
        </w:trPr>
        <w:tc>
          <w:tcPr>
            <w:tcW w:w="9498" w:type="dxa"/>
            <w:shd w:val="clear" w:color="auto" w:fill="16365D"/>
          </w:tcPr>
          <w:p w14:paraId="44833041" w14:textId="77777777" w:rsidR="00925188" w:rsidRPr="00FF61A0" w:rsidRDefault="00925188" w:rsidP="0084785F">
            <w:pPr>
              <w:rPr>
                <w:rFonts w:ascii="Arial" w:hAnsi="Arial" w:cs="Arial"/>
              </w:rPr>
            </w:pPr>
            <w:r w:rsidRPr="00FF61A0">
              <w:rPr>
                <w:rFonts w:ascii="Arial" w:hAnsi="Arial" w:cs="Arial"/>
              </w:rPr>
              <w:t>Recommendation</w:t>
            </w:r>
          </w:p>
        </w:tc>
      </w:tr>
      <w:tr w:rsidR="00925188" w:rsidRPr="00FF61A0" w14:paraId="675ED8C9" w14:textId="77777777" w:rsidTr="007B037D">
        <w:trPr>
          <w:trHeight w:val="4943"/>
        </w:trPr>
        <w:tc>
          <w:tcPr>
            <w:tcW w:w="9498" w:type="dxa"/>
          </w:tcPr>
          <w:p w14:paraId="4241DDE8" w14:textId="77777777" w:rsidR="00925188" w:rsidRPr="00FF61A0" w:rsidRDefault="00925188" w:rsidP="0084785F">
            <w:pPr>
              <w:rPr>
                <w:rFonts w:ascii="Arial" w:hAnsi="Arial" w:cs="Arial"/>
              </w:rPr>
            </w:pPr>
            <w:r w:rsidRPr="00FF61A0">
              <w:rPr>
                <w:rFonts w:ascii="Arial" w:hAnsi="Arial" w:cs="Arial"/>
              </w:rPr>
              <w:t>Arthroscopic knee washout (lavage and debridement) should not be used as a treatment for osteoarthritis because it is clinically ineffective.</w:t>
            </w:r>
          </w:p>
          <w:p w14:paraId="73EAF042" w14:textId="77777777" w:rsidR="00925188" w:rsidRPr="00FF61A0" w:rsidRDefault="00925188" w:rsidP="0084785F">
            <w:pPr>
              <w:rPr>
                <w:rFonts w:ascii="Arial" w:hAnsi="Arial" w:cs="Arial"/>
              </w:rPr>
            </w:pPr>
          </w:p>
          <w:p w14:paraId="17101229" w14:textId="77777777" w:rsidR="00925188" w:rsidRPr="00FF61A0" w:rsidRDefault="00925188" w:rsidP="0084785F">
            <w:pPr>
              <w:rPr>
                <w:rFonts w:ascii="Arial" w:hAnsi="Arial" w:cs="Arial"/>
              </w:rPr>
            </w:pPr>
            <w:r w:rsidRPr="00FF61A0">
              <w:rPr>
                <w:rFonts w:ascii="Arial" w:hAnsi="Arial" w:cs="Arial"/>
              </w:rPr>
              <w:t>Referral for arthroscopic lavage and debridement should not be offered as part of treatment for osteoarthritis, unless the person has knee osteoarthritis with a clear history of mechanical locking.</w:t>
            </w:r>
          </w:p>
          <w:p w14:paraId="5E955DDF" w14:textId="77777777" w:rsidR="00925188" w:rsidRPr="00FF61A0" w:rsidRDefault="00925188" w:rsidP="0084785F">
            <w:pPr>
              <w:rPr>
                <w:rFonts w:ascii="Arial" w:hAnsi="Arial" w:cs="Arial"/>
              </w:rPr>
            </w:pPr>
          </w:p>
          <w:p w14:paraId="233F2FF2" w14:textId="77777777" w:rsidR="00925188" w:rsidRPr="00FF61A0" w:rsidRDefault="00925188" w:rsidP="0084785F">
            <w:pPr>
              <w:rPr>
                <w:rFonts w:ascii="Arial" w:hAnsi="Arial" w:cs="Arial"/>
              </w:rPr>
            </w:pPr>
            <w:r w:rsidRPr="00FF61A0">
              <w:rPr>
                <w:rFonts w:ascii="Arial" w:hAnsi="Arial" w:cs="Arial"/>
              </w:rPr>
              <w:t xml:space="preserve">More effective treatment includes exercise </w:t>
            </w:r>
            <w:proofErr w:type="spellStart"/>
            <w:r w:rsidRPr="00FF61A0">
              <w:rPr>
                <w:rFonts w:ascii="Arial" w:hAnsi="Arial" w:cs="Arial"/>
              </w:rPr>
              <w:t>programmes</w:t>
            </w:r>
            <w:proofErr w:type="spellEnd"/>
            <w:r w:rsidRPr="00FF61A0">
              <w:rPr>
                <w:rFonts w:ascii="Arial" w:hAnsi="Arial" w:cs="Arial"/>
              </w:rPr>
              <w:t xml:space="preserve"> (e.g. ESCAPE pain), losing weight (if necessary) and managing pain. Osteoarthritis is relatively common in older age groups. Where symptoms do not resolve after non- operative treatment, referral for consideration of knee replacement, or joint preserving surgery such as osteotomy is appropriate.</w:t>
            </w:r>
          </w:p>
          <w:p w14:paraId="4A1F1B06" w14:textId="77777777" w:rsidR="00925188" w:rsidRPr="00FF61A0" w:rsidRDefault="00925188" w:rsidP="0084785F">
            <w:pPr>
              <w:rPr>
                <w:rFonts w:ascii="Arial" w:hAnsi="Arial" w:cs="Arial"/>
              </w:rPr>
            </w:pPr>
          </w:p>
          <w:p w14:paraId="265C934B" w14:textId="77777777" w:rsidR="00925188" w:rsidRPr="00FF61A0" w:rsidRDefault="00925188" w:rsidP="0084785F">
            <w:pPr>
              <w:rPr>
                <w:rFonts w:ascii="Arial" w:hAnsi="Arial" w:cs="Arial"/>
              </w:rPr>
            </w:pPr>
            <w:r w:rsidRPr="00FF61A0">
              <w:rPr>
                <w:rFonts w:ascii="Arial" w:hAnsi="Arial" w:cs="Arial"/>
              </w:rPr>
              <w:t>For further information, please see:</w:t>
            </w:r>
          </w:p>
          <w:p w14:paraId="488B5D1E" w14:textId="77777777" w:rsidR="00925188" w:rsidRPr="00FF61A0" w:rsidRDefault="00925188" w:rsidP="0084785F">
            <w:pPr>
              <w:rPr>
                <w:rFonts w:ascii="Arial" w:hAnsi="Arial" w:cs="Arial"/>
              </w:rPr>
            </w:pPr>
            <w:r w:rsidRPr="00FF61A0">
              <w:rPr>
                <w:rFonts w:ascii="Arial" w:hAnsi="Arial" w:cs="Arial"/>
              </w:rPr>
              <w:t>https://</w:t>
            </w:r>
            <w:hyperlink r:id="rId8">
              <w:r w:rsidRPr="00FF61A0">
                <w:rPr>
                  <w:rStyle w:val="Hyperlink"/>
                  <w:rFonts w:ascii="Arial" w:hAnsi="Arial" w:cs="Arial"/>
                </w:rPr>
                <w:t>www.nice.org.uk/guidance/ipg230/evidence/overview-pdf-</w:t>
              </w:r>
            </w:hyperlink>
            <w:r w:rsidRPr="00FF61A0">
              <w:rPr>
                <w:rFonts w:ascii="Arial" w:hAnsi="Arial" w:cs="Arial"/>
              </w:rPr>
              <w:t xml:space="preserve"> 492463117</w:t>
            </w:r>
          </w:p>
          <w:p w14:paraId="25801C92" w14:textId="77777777" w:rsidR="00925188" w:rsidRPr="00FF61A0" w:rsidRDefault="00925188" w:rsidP="0084785F">
            <w:pPr>
              <w:rPr>
                <w:rFonts w:ascii="Arial" w:hAnsi="Arial" w:cs="Arial"/>
              </w:rPr>
            </w:pPr>
            <w:r w:rsidRPr="00FF61A0">
              <w:rPr>
                <w:rFonts w:ascii="Arial" w:hAnsi="Arial" w:cs="Arial"/>
              </w:rPr>
              <w:t>https://</w:t>
            </w:r>
            <w:hyperlink r:id="rId9">
              <w:r w:rsidRPr="00FF61A0">
                <w:rPr>
                  <w:rStyle w:val="Hyperlink"/>
                  <w:rFonts w:ascii="Arial" w:hAnsi="Arial" w:cs="Arial"/>
                </w:rPr>
                <w:t>www.nice.org.uk/guidance/ipg230/chapter/1-Guidance</w:t>
              </w:r>
            </w:hyperlink>
          </w:p>
          <w:p w14:paraId="3ED4CA42" w14:textId="77777777" w:rsidR="00925188" w:rsidRPr="00FF61A0" w:rsidRDefault="00925188" w:rsidP="0084785F">
            <w:pPr>
              <w:rPr>
                <w:rFonts w:ascii="Arial" w:hAnsi="Arial" w:cs="Arial"/>
              </w:rPr>
            </w:pPr>
            <w:r w:rsidRPr="00FF61A0">
              <w:rPr>
                <w:rFonts w:ascii="Arial" w:hAnsi="Arial" w:cs="Arial"/>
              </w:rPr>
              <w:t>https://</w:t>
            </w:r>
            <w:hyperlink r:id="rId10">
              <w:r w:rsidRPr="00FF61A0">
                <w:rPr>
                  <w:rStyle w:val="Hyperlink"/>
                  <w:rFonts w:ascii="Arial" w:hAnsi="Arial" w:cs="Arial"/>
                </w:rPr>
                <w:t>www.nice.org.uk/donotdo/referral-for-arthroscopic-lavage-and-</w:t>
              </w:r>
            </w:hyperlink>
            <w:r w:rsidRPr="00FF61A0">
              <w:rPr>
                <w:rFonts w:ascii="Arial" w:hAnsi="Arial" w:cs="Arial"/>
              </w:rPr>
              <w:t xml:space="preserve"> debridement-should-not-be-offered-as-part-of-treatment-for- osteoarthritis-unless-the-person-has-knee-osteoarthritis-with-a-clear- history-of-mechanical-locking-not</w:t>
            </w:r>
          </w:p>
          <w:p w14:paraId="046008D1" w14:textId="77777777" w:rsidR="00925188" w:rsidRPr="00FF61A0" w:rsidRDefault="00FF61A0" w:rsidP="0084785F">
            <w:pPr>
              <w:rPr>
                <w:rStyle w:val="Hyperlink"/>
                <w:rFonts w:ascii="Arial" w:hAnsi="Arial" w:cs="Arial"/>
              </w:rPr>
            </w:pPr>
            <w:hyperlink r:id="rId11">
              <w:r w:rsidR="00925188" w:rsidRPr="00FF61A0">
                <w:rPr>
                  <w:rStyle w:val="Hyperlink"/>
                  <w:rFonts w:ascii="Arial" w:hAnsi="Arial" w:cs="Arial"/>
                </w:rPr>
                <w:t>http://www.escape-pain.org/</w:t>
              </w:r>
            </w:hyperlink>
          </w:p>
          <w:p w14:paraId="733EEE4C" w14:textId="77777777" w:rsidR="007B037D" w:rsidRPr="00FF61A0" w:rsidRDefault="007B037D" w:rsidP="0084785F">
            <w:pPr>
              <w:rPr>
                <w:rStyle w:val="Hyperlink"/>
                <w:rFonts w:ascii="Arial" w:hAnsi="Arial" w:cs="Arial"/>
              </w:rPr>
            </w:pPr>
          </w:p>
          <w:p w14:paraId="5048D88A" w14:textId="77777777" w:rsidR="007B037D" w:rsidRPr="00FF61A0" w:rsidRDefault="007B037D" w:rsidP="0084785F">
            <w:pPr>
              <w:rPr>
                <w:rFonts w:ascii="Arial" w:hAnsi="Arial" w:cs="Arial"/>
              </w:rPr>
            </w:pPr>
          </w:p>
          <w:p w14:paraId="15A7F496" w14:textId="77777777" w:rsidR="007B037D" w:rsidRPr="00FF61A0" w:rsidRDefault="007B037D" w:rsidP="0084785F">
            <w:pPr>
              <w:rPr>
                <w:rFonts w:ascii="Arial" w:hAnsi="Arial" w:cs="Arial"/>
              </w:rPr>
            </w:pPr>
          </w:p>
        </w:tc>
      </w:tr>
      <w:tr w:rsidR="00925188" w:rsidRPr="00FF61A0" w14:paraId="335B24A5" w14:textId="77777777" w:rsidTr="007B037D">
        <w:trPr>
          <w:trHeight w:val="277"/>
        </w:trPr>
        <w:tc>
          <w:tcPr>
            <w:tcW w:w="9498" w:type="dxa"/>
            <w:shd w:val="clear" w:color="auto" w:fill="16365D"/>
          </w:tcPr>
          <w:p w14:paraId="3CAF7CFF" w14:textId="77777777" w:rsidR="00925188" w:rsidRPr="00FF61A0" w:rsidRDefault="00925188" w:rsidP="0084785F">
            <w:pPr>
              <w:rPr>
                <w:rFonts w:ascii="Arial" w:hAnsi="Arial" w:cs="Arial"/>
              </w:rPr>
            </w:pPr>
            <w:r w:rsidRPr="00FF61A0">
              <w:rPr>
                <w:rFonts w:ascii="Arial" w:hAnsi="Arial" w:cs="Arial"/>
              </w:rPr>
              <w:t>Rationale for recommendation</w:t>
            </w:r>
          </w:p>
        </w:tc>
      </w:tr>
      <w:tr w:rsidR="00925188" w:rsidRPr="00FF61A0" w14:paraId="1D404016" w14:textId="77777777" w:rsidTr="007B037D">
        <w:trPr>
          <w:trHeight w:val="1660"/>
        </w:trPr>
        <w:tc>
          <w:tcPr>
            <w:tcW w:w="9498" w:type="dxa"/>
          </w:tcPr>
          <w:p w14:paraId="4A9997E5" w14:textId="77777777" w:rsidR="004F23C0" w:rsidRPr="00FF61A0" w:rsidRDefault="00925188" w:rsidP="0084785F">
            <w:pPr>
              <w:rPr>
                <w:rFonts w:ascii="Arial" w:hAnsi="Arial" w:cs="Arial"/>
              </w:rPr>
            </w:pPr>
            <w:r w:rsidRPr="00FF61A0">
              <w:rPr>
                <w:rFonts w:ascii="Arial" w:hAnsi="Arial" w:cs="Arial"/>
              </w:rPr>
              <w:lastRenderedPageBreak/>
              <w:t>NICE has reviewed the evidence for how well knee washout works for people with osteoarthritis. Seven clinical trials and three case studies have shown</w:t>
            </w:r>
            <w:r w:rsidR="004F23C0" w:rsidRPr="00FF61A0">
              <w:rPr>
                <w:rFonts w:ascii="Arial" w:hAnsi="Arial" w:cs="Arial"/>
              </w:rPr>
              <w:t xml:space="preserve"> that knee wash out for people with osteoarthritis did not reduce pain nor improve how well their knees worked. There was a small increased risk of bleeding inside the knee joint (</w:t>
            </w:r>
            <w:proofErr w:type="spellStart"/>
            <w:r w:rsidR="004F23C0" w:rsidRPr="00FF61A0">
              <w:rPr>
                <w:rFonts w:ascii="Arial" w:hAnsi="Arial" w:cs="Arial"/>
              </w:rPr>
              <w:t>haemarthrosis</w:t>
            </w:r>
            <w:proofErr w:type="spellEnd"/>
            <w:r w:rsidR="004F23C0" w:rsidRPr="00FF61A0">
              <w:rPr>
                <w:rFonts w:ascii="Arial" w:hAnsi="Arial" w:cs="Arial"/>
              </w:rPr>
              <w:t>) (2%) or blood clot in the leg (deep vein thrombosis) (0.5%).</w:t>
            </w:r>
          </w:p>
          <w:p w14:paraId="016510C0" w14:textId="77777777" w:rsidR="004F23C0" w:rsidRPr="00FF61A0" w:rsidRDefault="004F23C0" w:rsidP="0084785F">
            <w:pPr>
              <w:rPr>
                <w:rFonts w:ascii="Arial" w:hAnsi="Arial" w:cs="Arial"/>
              </w:rPr>
            </w:pPr>
          </w:p>
        </w:tc>
      </w:tr>
      <w:tr w:rsidR="0084785F" w:rsidRPr="00FF61A0" w14:paraId="23CCFD2F" w14:textId="77777777" w:rsidTr="007B037D">
        <w:trPr>
          <w:trHeight w:val="296"/>
        </w:trPr>
        <w:tc>
          <w:tcPr>
            <w:tcW w:w="9498" w:type="dxa"/>
            <w:shd w:val="clear" w:color="auto" w:fill="244061" w:themeFill="accent1" w:themeFillShade="80"/>
          </w:tcPr>
          <w:p w14:paraId="44E75785" w14:textId="77777777" w:rsidR="0084785F" w:rsidRPr="00FF61A0" w:rsidRDefault="0084785F" w:rsidP="0084785F">
            <w:pPr>
              <w:rPr>
                <w:rFonts w:ascii="Arial" w:hAnsi="Arial" w:cs="Arial"/>
              </w:rPr>
            </w:pPr>
            <w:r w:rsidRPr="00FF61A0">
              <w:rPr>
                <w:rFonts w:ascii="Arial" w:hAnsi="Arial" w:cs="Arial"/>
              </w:rPr>
              <w:t>References</w:t>
            </w:r>
          </w:p>
          <w:p w14:paraId="7A157240" w14:textId="77777777" w:rsidR="0084785F" w:rsidRPr="00FF61A0" w:rsidRDefault="0084785F" w:rsidP="0084785F">
            <w:pPr>
              <w:rPr>
                <w:rFonts w:ascii="Arial" w:hAnsi="Arial" w:cs="Arial"/>
              </w:rPr>
            </w:pPr>
          </w:p>
        </w:tc>
      </w:tr>
      <w:tr w:rsidR="0084785F" w:rsidRPr="00FF61A0" w14:paraId="0E4E356D" w14:textId="77777777" w:rsidTr="007B037D">
        <w:trPr>
          <w:trHeight w:val="1417"/>
        </w:trPr>
        <w:tc>
          <w:tcPr>
            <w:tcW w:w="9498" w:type="dxa"/>
          </w:tcPr>
          <w:p w14:paraId="0A19B856" w14:textId="77777777" w:rsidR="0084785F" w:rsidRPr="00FF61A0" w:rsidRDefault="0084785F" w:rsidP="0084785F">
            <w:pPr>
              <w:rPr>
                <w:rFonts w:ascii="Arial" w:hAnsi="Arial" w:cs="Arial"/>
              </w:rPr>
            </w:pPr>
            <w:r w:rsidRPr="00FF61A0">
              <w:rPr>
                <w:rFonts w:ascii="Arial" w:hAnsi="Arial" w:cs="Arial"/>
              </w:rPr>
              <w:t>NICE guidance: https://</w:t>
            </w:r>
            <w:hyperlink r:id="rId12">
              <w:r w:rsidRPr="00FF61A0">
                <w:rPr>
                  <w:rStyle w:val="Hyperlink"/>
                  <w:rFonts w:ascii="Arial" w:hAnsi="Arial" w:cs="Arial"/>
                </w:rPr>
                <w:t>www.nice.org.uk/guidance/ipg230/evidence/overview-pdf-</w:t>
              </w:r>
            </w:hyperlink>
            <w:r w:rsidRPr="00FF61A0">
              <w:rPr>
                <w:rFonts w:ascii="Arial" w:hAnsi="Arial" w:cs="Arial"/>
              </w:rPr>
              <w:t xml:space="preserve"> 492463117</w:t>
            </w:r>
          </w:p>
          <w:p w14:paraId="17C180EE" w14:textId="77777777" w:rsidR="0084785F" w:rsidRPr="00FF61A0" w:rsidRDefault="0084785F" w:rsidP="0084785F">
            <w:pPr>
              <w:rPr>
                <w:rFonts w:ascii="Arial" w:hAnsi="Arial" w:cs="Arial"/>
              </w:rPr>
            </w:pPr>
            <w:r w:rsidRPr="00FF61A0">
              <w:rPr>
                <w:rFonts w:ascii="Arial" w:hAnsi="Arial" w:cs="Arial"/>
              </w:rPr>
              <w:t>NICE guidance: https://</w:t>
            </w:r>
            <w:hyperlink r:id="rId13">
              <w:r w:rsidRPr="00FF61A0">
                <w:rPr>
                  <w:rStyle w:val="Hyperlink"/>
                  <w:rFonts w:ascii="Arial" w:hAnsi="Arial" w:cs="Arial"/>
                </w:rPr>
                <w:t>www.nice.org.uk/guidance/ipg230/chapter/1-</w:t>
              </w:r>
            </w:hyperlink>
            <w:r w:rsidRPr="00FF61A0">
              <w:rPr>
                <w:rFonts w:ascii="Arial" w:hAnsi="Arial" w:cs="Arial"/>
              </w:rPr>
              <w:t xml:space="preserve"> Guidance</w:t>
            </w:r>
          </w:p>
          <w:p w14:paraId="757BDB16" w14:textId="77777777" w:rsidR="0084785F" w:rsidRPr="00FF61A0" w:rsidRDefault="0084785F" w:rsidP="0084785F">
            <w:pPr>
              <w:rPr>
                <w:rFonts w:ascii="Arial" w:hAnsi="Arial" w:cs="Arial"/>
              </w:rPr>
            </w:pPr>
            <w:r w:rsidRPr="00FF61A0">
              <w:rPr>
                <w:rFonts w:ascii="Arial" w:hAnsi="Arial" w:cs="Arial"/>
              </w:rPr>
              <w:t>NICE guidance: https://</w:t>
            </w:r>
            <w:hyperlink r:id="rId14">
              <w:r w:rsidRPr="00FF61A0">
                <w:rPr>
                  <w:rStyle w:val="Hyperlink"/>
                  <w:rFonts w:ascii="Arial" w:hAnsi="Arial" w:cs="Arial"/>
                </w:rPr>
                <w:t>www.nice.org.uk/donotdo/referral-for-</w:t>
              </w:r>
            </w:hyperlink>
            <w:r w:rsidRPr="00FF61A0">
              <w:rPr>
                <w:rFonts w:ascii="Arial" w:hAnsi="Arial" w:cs="Arial"/>
              </w:rPr>
              <w:t xml:space="preserve"> arthroscopic-lavage-and-debridement-should-not-be-offered-as-part- of-treatment-for-osteoarthritis-unless-the-person-has-knee- osteoarthritis-with-a-clear-history-of-mechanical-locking-not</w:t>
            </w:r>
          </w:p>
          <w:p w14:paraId="2B90D6C6" w14:textId="77777777" w:rsidR="0084785F" w:rsidRPr="00FF61A0" w:rsidRDefault="0084785F" w:rsidP="0084785F">
            <w:pPr>
              <w:rPr>
                <w:rFonts w:ascii="Arial" w:hAnsi="Arial" w:cs="Arial"/>
              </w:rPr>
            </w:pPr>
            <w:r w:rsidRPr="00FF61A0">
              <w:rPr>
                <w:rFonts w:ascii="Arial" w:hAnsi="Arial" w:cs="Arial"/>
              </w:rPr>
              <w:t xml:space="preserve">British </w:t>
            </w:r>
            <w:proofErr w:type="spellStart"/>
            <w:r w:rsidRPr="00FF61A0">
              <w:rPr>
                <w:rFonts w:ascii="Arial" w:hAnsi="Arial" w:cs="Arial"/>
              </w:rPr>
              <w:t>Orthopaedic</w:t>
            </w:r>
            <w:proofErr w:type="spellEnd"/>
            <w:r w:rsidRPr="00FF61A0">
              <w:rPr>
                <w:rFonts w:ascii="Arial" w:hAnsi="Arial" w:cs="Arial"/>
              </w:rPr>
              <w:t xml:space="preserve"> Association and the Royal College of Surgeons: https://</w:t>
            </w:r>
            <w:hyperlink r:id="rId15">
              <w:r w:rsidRPr="00FF61A0">
                <w:rPr>
                  <w:rStyle w:val="Hyperlink"/>
                  <w:rFonts w:ascii="Arial" w:hAnsi="Arial" w:cs="Arial"/>
                </w:rPr>
                <w:t>www.rcseng.ac.uk/-/media/files/rcs/standards-and-</w:t>
              </w:r>
            </w:hyperlink>
            <w:r w:rsidRPr="00FF61A0">
              <w:rPr>
                <w:rFonts w:ascii="Arial" w:hAnsi="Arial" w:cs="Arial"/>
              </w:rPr>
              <w:t xml:space="preserve"> research/commissioning/boa--painful-oa-knee-guide-final-2017.pdf</w:t>
            </w:r>
          </w:p>
          <w:p w14:paraId="6E8C4677" w14:textId="77777777" w:rsidR="0084785F" w:rsidRPr="00FF61A0" w:rsidRDefault="0084785F" w:rsidP="0084785F">
            <w:pPr>
              <w:rPr>
                <w:rFonts w:ascii="Arial" w:hAnsi="Arial" w:cs="Arial"/>
              </w:rPr>
            </w:pPr>
            <w:proofErr w:type="spellStart"/>
            <w:r w:rsidRPr="00FF61A0">
              <w:rPr>
                <w:rFonts w:ascii="Arial" w:hAnsi="Arial" w:cs="Arial"/>
              </w:rPr>
              <w:t>Siemieniuk</w:t>
            </w:r>
            <w:proofErr w:type="spellEnd"/>
            <w:r w:rsidRPr="00FF61A0">
              <w:rPr>
                <w:rFonts w:ascii="Arial" w:hAnsi="Arial" w:cs="Arial"/>
              </w:rPr>
              <w:t xml:space="preserve"> Reed A C, Harris Ian A, </w:t>
            </w:r>
            <w:proofErr w:type="spellStart"/>
            <w:r w:rsidRPr="00FF61A0">
              <w:rPr>
                <w:rFonts w:ascii="Arial" w:hAnsi="Arial" w:cs="Arial"/>
              </w:rPr>
              <w:t>Agoritsas</w:t>
            </w:r>
            <w:proofErr w:type="spellEnd"/>
            <w:r w:rsidRPr="00FF61A0">
              <w:rPr>
                <w:rFonts w:ascii="Arial" w:hAnsi="Arial" w:cs="Arial"/>
              </w:rPr>
              <w:t xml:space="preserve"> Thomas, </w:t>
            </w:r>
            <w:proofErr w:type="spellStart"/>
            <w:r w:rsidRPr="00FF61A0">
              <w:rPr>
                <w:rFonts w:ascii="Arial" w:hAnsi="Arial" w:cs="Arial"/>
              </w:rPr>
              <w:t>Poolman</w:t>
            </w:r>
            <w:proofErr w:type="spellEnd"/>
            <w:r w:rsidRPr="00FF61A0">
              <w:rPr>
                <w:rFonts w:ascii="Arial" w:hAnsi="Arial" w:cs="Arial"/>
              </w:rPr>
              <w:t xml:space="preserve"> Rudolf W, </w:t>
            </w:r>
            <w:proofErr w:type="spellStart"/>
            <w:r w:rsidRPr="00FF61A0">
              <w:rPr>
                <w:rFonts w:ascii="Arial" w:hAnsi="Arial" w:cs="Arial"/>
              </w:rPr>
              <w:t>Brignardello</w:t>
            </w:r>
            <w:proofErr w:type="spellEnd"/>
            <w:r w:rsidRPr="00FF61A0">
              <w:rPr>
                <w:rFonts w:ascii="Arial" w:hAnsi="Arial" w:cs="Arial"/>
              </w:rPr>
              <w:t>-Petersen Romina, Van de Velde Stijn et al. Arthroscopic surgery for degenerative knee arthritis and meniscal tears: a clinical practice guideline BMJ 2017; 357 :j1982</w:t>
            </w:r>
          </w:p>
          <w:p w14:paraId="16782996" w14:textId="77777777" w:rsidR="0084785F" w:rsidRPr="00FF61A0" w:rsidRDefault="0084785F" w:rsidP="0084785F">
            <w:pPr>
              <w:rPr>
                <w:rFonts w:ascii="Arial" w:hAnsi="Arial" w:cs="Arial"/>
              </w:rPr>
            </w:pPr>
            <w:proofErr w:type="spellStart"/>
            <w:r w:rsidRPr="00FF61A0">
              <w:rPr>
                <w:rFonts w:ascii="Arial" w:hAnsi="Arial" w:cs="Arial"/>
              </w:rPr>
              <w:t>Brignardello</w:t>
            </w:r>
            <w:proofErr w:type="spellEnd"/>
            <w:r w:rsidRPr="00FF61A0">
              <w:rPr>
                <w:rFonts w:ascii="Arial" w:hAnsi="Arial" w:cs="Arial"/>
              </w:rPr>
              <w:t xml:space="preserve">-Petersen R, </w:t>
            </w:r>
            <w:proofErr w:type="spellStart"/>
            <w:r w:rsidRPr="00FF61A0">
              <w:rPr>
                <w:rFonts w:ascii="Arial" w:hAnsi="Arial" w:cs="Arial"/>
              </w:rPr>
              <w:t>Guyatt</w:t>
            </w:r>
            <w:proofErr w:type="spellEnd"/>
            <w:r w:rsidRPr="00FF61A0">
              <w:rPr>
                <w:rFonts w:ascii="Arial" w:hAnsi="Arial" w:cs="Arial"/>
              </w:rPr>
              <w:t xml:space="preserve"> GH, Buchbinder R, et al Knee arthroscopy versus conservative management in patients with degenerative knee disease: a systematic review BMJ Open 2017;7:e016114. </w:t>
            </w:r>
            <w:proofErr w:type="spellStart"/>
            <w:r w:rsidRPr="00FF61A0">
              <w:rPr>
                <w:rFonts w:ascii="Arial" w:hAnsi="Arial" w:cs="Arial"/>
              </w:rPr>
              <w:t>doi</w:t>
            </w:r>
            <w:proofErr w:type="spellEnd"/>
            <w:r w:rsidRPr="00FF61A0">
              <w:rPr>
                <w:rFonts w:ascii="Arial" w:hAnsi="Arial" w:cs="Arial"/>
              </w:rPr>
              <w:t>: 10.1136/bmjopen-2017-016114`</w:t>
            </w:r>
          </w:p>
          <w:p w14:paraId="1AE017C4" w14:textId="77777777" w:rsidR="0084785F" w:rsidRPr="00FF61A0" w:rsidRDefault="0084785F" w:rsidP="0084785F">
            <w:pPr>
              <w:rPr>
                <w:rFonts w:ascii="Arial" w:hAnsi="Arial" w:cs="Arial"/>
              </w:rPr>
            </w:pPr>
            <w:r w:rsidRPr="00FF61A0">
              <w:rPr>
                <w:rFonts w:ascii="Arial" w:hAnsi="Arial" w:cs="Arial"/>
              </w:rPr>
              <w:t>Moseley JB, O’Malley K, Petersen NJ et al. (2002) A controlled trial of arthroscopic surgery for osteoarthritis of the knee. The New England Journal of Medicine 347: 81–8.</w:t>
            </w:r>
          </w:p>
          <w:p w14:paraId="21FC7D7E" w14:textId="77777777" w:rsidR="0084785F" w:rsidRPr="00FF61A0" w:rsidRDefault="0084785F" w:rsidP="0084785F">
            <w:pPr>
              <w:rPr>
                <w:rFonts w:ascii="Arial" w:hAnsi="Arial" w:cs="Arial"/>
              </w:rPr>
            </w:pPr>
            <w:r w:rsidRPr="00FF61A0">
              <w:rPr>
                <w:rFonts w:ascii="Arial" w:hAnsi="Arial" w:cs="Arial"/>
              </w:rPr>
              <w:t>Hubbard MJS. (1996) Articular debridement versus washout for degeneration of the medial femoral condyle. Journal of Bone and Joint Surgery (British) 78-B: 217–19.</w:t>
            </w:r>
          </w:p>
          <w:p w14:paraId="6E670298" w14:textId="77777777" w:rsidR="0084785F" w:rsidRPr="00FF61A0" w:rsidRDefault="0084785F" w:rsidP="0084785F">
            <w:pPr>
              <w:rPr>
                <w:rFonts w:ascii="Arial" w:hAnsi="Arial" w:cs="Arial"/>
              </w:rPr>
            </w:pPr>
            <w:proofErr w:type="spellStart"/>
            <w:r w:rsidRPr="00FF61A0">
              <w:rPr>
                <w:rFonts w:ascii="Arial" w:hAnsi="Arial" w:cs="Arial"/>
              </w:rPr>
              <w:t>Kalunian</w:t>
            </w:r>
            <w:proofErr w:type="spellEnd"/>
            <w:r w:rsidRPr="00FF61A0">
              <w:rPr>
                <w:rFonts w:ascii="Arial" w:hAnsi="Arial" w:cs="Arial"/>
              </w:rPr>
              <w:t xml:space="preserve"> KC, Moreland </w:t>
            </w:r>
            <w:proofErr w:type="spellStart"/>
            <w:r w:rsidRPr="00FF61A0">
              <w:rPr>
                <w:rFonts w:ascii="Arial" w:hAnsi="Arial" w:cs="Arial"/>
              </w:rPr>
              <w:t>LW</w:t>
            </w:r>
            <w:proofErr w:type="spellEnd"/>
            <w:r w:rsidRPr="00FF61A0">
              <w:rPr>
                <w:rFonts w:ascii="Arial" w:hAnsi="Arial" w:cs="Arial"/>
              </w:rPr>
              <w:t xml:space="preserve">, </w:t>
            </w:r>
            <w:proofErr w:type="spellStart"/>
            <w:r w:rsidRPr="00FF61A0">
              <w:rPr>
                <w:rFonts w:ascii="Arial" w:hAnsi="Arial" w:cs="Arial"/>
              </w:rPr>
              <w:t>Klashman</w:t>
            </w:r>
            <w:proofErr w:type="spellEnd"/>
            <w:r w:rsidRPr="00FF61A0">
              <w:rPr>
                <w:rFonts w:ascii="Arial" w:hAnsi="Arial" w:cs="Arial"/>
              </w:rPr>
              <w:t xml:space="preserve"> DJ et al. (2000) Visually- guided irrigation in patients with </w:t>
            </w:r>
            <w:proofErr w:type="gramStart"/>
            <w:r w:rsidRPr="00FF61A0">
              <w:rPr>
                <w:rFonts w:ascii="Arial" w:hAnsi="Arial" w:cs="Arial"/>
              </w:rPr>
              <w:t>early  knee</w:t>
            </w:r>
            <w:proofErr w:type="gramEnd"/>
            <w:r w:rsidRPr="00FF61A0">
              <w:rPr>
                <w:rFonts w:ascii="Arial" w:hAnsi="Arial" w:cs="Arial"/>
              </w:rPr>
              <w:t xml:space="preserve">  osteoarthritis:  a </w:t>
            </w:r>
            <w:proofErr w:type="spellStart"/>
            <w:r w:rsidRPr="00FF61A0">
              <w:rPr>
                <w:rFonts w:ascii="Arial" w:hAnsi="Arial" w:cs="Arial"/>
              </w:rPr>
              <w:t>multicentre</w:t>
            </w:r>
            <w:proofErr w:type="spellEnd"/>
            <w:r w:rsidRPr="00FF61A0">
              <w:rPr>
                <w:rFonts w:ascii="Arial" w:hAnsi="Arial" w:cs="Arial"/>
              </w:rPr>
              <w:t xml:space="preserve"> randomized controlled trial. Osteoarthritis and Cartilage 8: 412–18.</w:t>
            </w:r>
          </w:p>
          <w:p w14:paraId="00DB676D" w14:textId="77777777" w:rsidR="0084785F" w:rsidRPr="00FF61A0" w:rsidRDefault="0084785F" w:rsidP="0084785F">
            <w:pPr>
              <w:rPr>
                <w:rFonts w:ascii="Arial" w:hAnsi="Arial" w:cs="Arial"/>
              </w:rPr>
            </w:pPr>
            <w:r w:rsidRPr="00FF61A0">
              <w:rPr>
                <w:rFonts w:ascii="Arial" w:hAnsi="Arial" w:cs="Arial"/>
              </w:rPr>
              <w:t xml:space="preserve">Chang </w:t>
            </w:r>
            <w:proofErr w:type="spellStart"/>
            <w:r w:rsidRPr="00FF61A0">
              <w:rPr>
                <w:rFonts w:ascii="Arial" w:hAnsi="Arial" w:cs="Arial"/>
              </w:rPr>
              <w:t>RW</w:t>
            </w:r>
            <w:proofErr w:type="spellEnd"/>
            <w:r w:rsidRPr="00FF61A0">
              <w:rPr>
                <w:rFonts w:ascii="Arial" w:hAnsi="Arial" w:cs="Arial"/>
              </w:rPr>
              <w:t xml:space="preserve">, Falconer J, </w:t>
            </w:r>
            <w:proofErr w:type="spellStart"/>
            <w:r w:rsidRPr="00FF61A0">
              <w:rPr>
                <w:rFonts w:ascii="Arial" w:hAnsi="Arial" w:cs="Arial"/>
              </w:rPr>
              <w:t>Stulberg</w:t>
            </w:r>
            <w:proofErr w:type="spellEnd"/>
            <w:r w:rsidRPr="00FF61A0">
              <w:rPr>
                <w:rFonts w:ascii="Arial" w:hAnsi="Arial" w:cs="Arial"/>
              </w:rPr>
              <w:t xml:space="preserve"> SD et al. (1993) A randomized, controlled trial of arthroscopic surgery versus closed-needle joint lavage for patients with osteoarthritis of the knee. Arthritis &amp; Rheumatism 36: 289–96.</w:t>
            </w:r>
          </w:p>
          <w:p w14:paraId="7C1B6AC7" w14:textId="77777777" w:rsidR="0084785F" w:rsidRPr="00FF61A0" w:rsidRDefault="0084785F" w:rsidP="0084785F">
            <w:pPr>
              <w:rPr>
                <w:rFonts w:ascii="Arial" w:hAnsi="Arial" w:cs="Arial"/>
              </w:rPr>
            </w:pPr>
            <w:r w:rsidRPr="00FF61A0">
              <w:rPr>
                <w:rFonts w:ascii="Arial" w:hAnsi="Arial" w:cs="Arial"/>
              </w:rPr>
              <w:t xml:space="preserve">Forster MC, Straw R. (2003) A prospective </w:t>
            </w:r>
            <w:proofErr w:type="spellStart"/>
            <w:r w:rsidRPr="00FF61A0">
              <w:rPr>
                <w:rFonts w:ascii="Arial" w:hAnsi="Arial" w:cs="Arial"/>
              </w:rPr>
              <w:t>randomised</w:t>
            </w:r>
            <w:proofErr w:type="spellEnd"/>
            <w:r w:rsidRPr="00FF61A0">
              <w:rPr>
                <w:rFonts w:ascii="Arial" w:hAnsi="Arial" w:cs="Arial"/>
              </w:rPr>
              <w:t xml:space="preserve"> </w:t>
            </w:r>
            <w:proofErr w:type="gramStart"/>
            <w:r w:rsidRPr="00FF61A0">
              <w:rPr>
                <w:rFonts w:ascii="Arial" w:hAnsi="Arial" w:cs="Arial"/>
              </w:rPr>
              <w:t>trial  comparing</w:t>
            </w:r>
            <w:proofErr w:type="gramEnd"/>
            <w:r w:rsidRPr="00FF61A0">
              <w:rPr>
                <w:rFonts w:ascii="Arial" w:hAnsi="Arial" w:cs="Arial"/>
              </w:rPr>
              <w:t xml:space="preserve"> intra-articular </w:t>
            </w:r>
            <w:proofErr w:type="spellStart"/>
            <w:r w:rsidRPr="00FF61A0">
              <w:rPr>
                <w:rFonts w:ascii="Arial" w:hAnsi="Arial" w:cs="Arial"/>
              </w:rPr>
              <w:t>Hyalgan</w:t>
            </w:r>
            <w:proofErr w:type="spellEnd"/>
            <w:r w:rsidRPr="00FF61A0">
              <w:rPr>
                <w:rFonts w:ascii="Arial" w:hAnsi="Arial" w:cs="Arial"/>
              </w:rPr>
              <w:t xml:space="preserve"> injection and arthroscopic washout for knee osteoarthritis. The Knee 10: 291–3.</w:t>
            </w:r>
          </w:p>
          <w:p w14:paraId="42DC5E9D" w14:textId="77777777" w:rsidR="0084785F" w:rsidRPr="00FF61A0" w:rsidRDefault="0084785F" w:rsidP="0084785F">
            <w:pPr>
              <w:rPr>
                <w:rFonts w:ascii="Arial" w:hAnsi="Arial" w:cs="Arial"/>
              </w:rPr>
            </w:pPr>
            <w:r w:rsidRPr="00FF61A0">
              <w:rPr>
                <w:rFonts w:ascii="Arial" w:hAnsi="Arial" w:cs="Arial"/>
              </w:rPr>
              <w:t xml:space="preserve">Jackson </w:t>
            </w:r>
            <w:proofErr w:type="spellStart"/>
            <w:r w:rsidRPr="00FF61A0">
              <w:rPr>
                <w:rFonts w:ascii="Arial" w:hAnsi="Arial" w:cs="Arial"/>
              </w:rPr>
              <w:t>RW</w:t>
            </w:r>
            <w:proofErr w:type="spellEnd"/>
            <w:r w:rsidRPr="00FF61A0">
              <w:rPr>
                <w:rFonts w:ascii="Arial" w:hAnsi="Arial" w:cs="Arial"/>
              </w:rPr>
              <w:t xml:space="preserve">, </w:t>
            </w:r>
            <w:proofErr w:type="spellStart"/>
            <w:r w:rsidRPr="00FF61A0">
              <w:rPr>
                <w:rFonts w:ascii="Arial" w:hAnsi="Arial" w:cs="Arial"/>
              </w:rPr>
              <w:t>Dieterichs</w:t>
            </w:r>
            <w:proofErr w:type="spellEnd"/>
            <w:r w:rsidRPr="00FF61A0">
              <w:rPr>
                <w:rFonts w:ascii="Arial" w:hAnsi="Arial" w:cs="Arial"/>
              </w:rPr>
              <w:t xml:space="preserve"> C. (2003) The results of arthroscopic lavage and debridement of osteoarthritic knees based on the severity of degeneration: a 4- to 6-year symptomatic follow-up. Arthroscopy: The Journal of Arthroscopic and Related Surgery 19: 13–20.</w:t>
            </w:r>
          </w:p>
          <w:p w14:paraId="1B2677E4" w14:textId="77777777" w:rsidR="0084785F" w:rsidRPr="00FF61A0" w:rsidRDefault="0084785F" w:rsidP="0084785F">
            <w:pPr>
              <w:rPr>
                <w:rFonts w:ascii="Arial" w:hAnsi="Arial" w:cs="Arial"/>
              </w:rPr>
            </w:pPr>
            <w:r w:rsidRPr="00FF61A0">
              <w:rPr>
                <w:rFonts w:ascii="Arial" w:hAnsi="Arial" w:cs="Arial"/>
              </w:rPr>
              <w:t>Bernard J, Lemon M, Patterson MH. (2004) Arthroscopic washout of the knee – a 5-year survival analysis. The Knee 11: 233–5.</w:t>
            </w:r>
          </w:p>
          <w:p w14:paraId="2DD22AEA" w14:textId="77777777" w:rsidR="0084785F" w:rsidRPr="00FF61A0" w:rsidRDefault="0084785F" w:rsidP="0084785F">
            <w:pPr>
              <w:rPr>
                <w:rFonts w:ascii="Arial" w:hAnsi="Arial" w:cs="Arial"/>
              </w:rPr>
            </w:pPr>
            <w:proofErr w:type="spellStart"/>
            <w:r w:rsidRPr="00FF61A0">
              <w:rPr>
                <w:rFonts w:ascii="Arial" w:hAnsi="Arial" w:cs="Arial"/>
                <w:w w:val="105"/>
              </w:rPr>
              <w:t>Harwin</w:t>
            </w:r>
            <w:proofErr w:type="spellEnd"/>
            <w:r w:rsidRPr="00FF61A0">
              <w:rPr>
                <w:rFonts w:ascii="Arial" w:hAnsi="Arial" w:cs="Arial"/>
                <w:w w:val="105"/>
              </w:rPr>
              <w:t xml:space="preserve"> SF. (1999) Arthroscopic debridement for osteoarthritis of the knee: predictors of patient satisfaction. Arthroscopy: The Journal of Arthroscopic and Related Surgery 15: 142–6.</w:t>
            </w:r>
          </w:p>
          <w:p w14:paraId="72C5189D" w14:textId="77777777" w:rsidR="0084785F" w:rsidRPr="00FF61A0" w:rsidRDefault="0084785F" w:rsidP="0084785F">
            <w:pPr>
              <w:rPr>
                <w:rFonts w:ascii="Arial" w:hAnsi="Arial" w:cs="Arial"/>
              </w:rPr>
            </w:pPr>
          </w:p>
        </w:tc>
      </w:tr>
    </w:tbl>
    <w:p w14:paraId="15FE1687" w14:textId="77777777" w:rsidR="00FF61A0" w:rsidRDefault="00FF61A0" w:rsidP="0084785F">
      <w:pPr>
        <w:rPr>
          <w:rFonts w:ascii="Arial" w:hAnsi="Arial" w:cs="Arial"/>
        </w:rPr>
      </w:pPr>
    </w:p>
    <w:p w14:paraId="1FEB70F9" w14:textId="6C29ADD1" w:rsidR="0084785F" w:rsidRPr="00FF61A0" w:rsidRDefault="0084785F" w:rsidP="0084785F">
      <w:pPr>
        <w:rPr>
          <w:rFonts w:ascii="Arial" w:hAnsi="Arial" w:cs="Arial"/>
          <w:i/>
          <w:sz w:val="18"/>
          <w:szCs w:val="18"/>
        </w:rPr>
      </w:pPr>
      <w:r w:rsidRPr="00FF61A0">
        <w:rPr>
          <w:rFonts w:ascii="Arial" w:hAnsi="Arial" w:cs="Arial"/>
          <w:i/>
          <w:sz w:val="18"/>
          <w:szCs w:val="18"/>
        </w:rPr>
        <w:t>Evidence-Based Interventions: Guidance for CCGs</w:t>
      </w:r>
    </w:p>
    <w:p w14:paraId="2659B3A3" w14:textId="77777777" w:rsidR="0084785F" w:rsidRPr="00FF61A0" w:rsidRDefault="0084785F" w:rsidP="0084785F">
      <w:pPr>
        <w:rPr>
          <w:rFonts w:ascii="Arial" w:hAnsi="Arial" w:cs="Arial"/>
          <w:i/>
          <w:sz w:val="18"/>
          <w:szCs w:val="18"/>
        </w:rPr>
      </w:pPr>
      <w:r w:rsidRPr="00FF61A0">
        <w:rPr>
          <w:rFonts w:ascii="Arial" w:hAnsi="Arial" w:cs="Arial"/>
          <w:i/>
          <w:sz w:val="18"/>
          <w:szCs w:val="18"/>
        </w:rPr>
        <w:t>Published by NHS England in partnership with NHS Clinical Commissioners, the Academy of Medical Royal Colleges, NHS Improvement and the National Institute for Health and Care Excellence</w:t>
      </w:r>
    </w:p>
    <w:p w14:paraId="5A4D2A03" w14:textId="77777777" w:rsidR="0084785F" w:rsidRPr="00FF61A0" w:rsidRDefault="0084785F" w:rsidP="0084785F">
      <w:pPr>
        <w:rPr>
          <w:rFonts w:ascii="Arial" w:hAnsi="Arial" w:cs="Arial"/>
          <w:i/>
          <w:sz w:val="18"/>
          <w:szCs w:val="18"/>
        </w:rPr>
      </w:pPr>
      <w:r w:rsidRPr="00FF61A0">
        <w:rPr>
          <w:rFonts w:ascii="Arial" w:hAnsi="Arial" w:cs="Arial"/>
          <w:i/>
          <w:sz w:val="18"/>
          <w:szCs w:val="18"/>
        </w:rPr>
        <w:t>Version number: 1</w:t>
      </w:r>
    </w:p>
    <w:p w14:paraId="5D519EF6" w14:textId="77777777" w:rsidR="0084785F" w:rsidRPr="00FF61A0" w:rsidRDefault="0084785F" w:rsidP="0084785F">
      <w:pPr>
        <w:rPr>
          <w:rFonts w:ascii="Arial" w:hAnsi="Arial" w:cs="Arial"/>
          <w:i/>
          <w:sz w:val="18"/>
          <w:szCs w:val="18"/>
        </w:rPr>
      </w:pPr>
      <w:r w:rsidRPr="00FF61A0">
        <w:rPr>
          <w:rFonts w:ascii="Arial" w:hAnsi="Arial" w:cs="Arial"/>
          <w:i/>
          <w:sz w:val="18"/>
          <w:szCs w:val="18"/>
        </w:rPr>
        <w:t>First published: 28 November 2018</w:t>
      </w:r>
    </w:p>
    <w:p w14:paraId="1F4C3676" w14:textId="77777777" w:rsidR="0084785F" w:rsidRPr="00FF61A0" w:rsidRDefault="0084785F" w:rsidP="0084785F">
      <w:pPr>
        <w:rPr>
          <w:rFonts w:ascii="Arial" w:hAnsi="Arial" w:cs="Arial"/>
          <w:i/>
          <w:sz w:val="18"/>
          <w:szCs w:val="18"/>
        </w:rPr>
      </w:pPr>
      <w:r w:rsidRPr="00FF61A0">
        <w:rPr>
          <w:rFonts w:ascii="Arial" w:hAnsi="Arial" w:cs="Arial"/>
          <w:i/>
          <w:sz w:val="18"/>
          <w:szCs w:val="18"/>
        </w:rPr>
        <w:t>Prepared by: NHS England Medical directorate and Strategy and Innovation directorate</w:t>
      </w:r>
    </w:p>
    <w:p w14:paraId="49D20058" w14:textId="77777777" w:rsidR="0084785F" w:rsidRPr="00FF61A0" w:rsidRDefault="0084785F" w:rsidP="0084785F">
      <w:pPr>
        <w:rPr>
          <w:rFonts w:ascii="Arial" w:hAnsi="Arial" w:cs="Arial"/>
          <w:i/>
          <w:sz w:val="18"/>
          <w:szCs w:val="18"/>
        </w:rPr>
      </w:pPr>
      <w:r w:rsidRPr="00FF61A0">
        <w:rPr>
          <w:rFonts w:ascii="Arial" w:hAnsi="Arial" w:cs="Arial"/>
          <w:i/>
          <w:sz w:val="18"/>
          <w:szCs w:val="18"/>
        </w:rPr>
        <w:t>Classification: OFFICIAL</w:t>
      </w:r>
    </w:p>
    <w:p w14:paraId="4013FD52" w14:textId="081EE9D8" w:rsidR="0065099C" w:rsidRPr="00FF61A0" w:rsidRDefault="0084785F" w:rsidP="0084785F">
      <w:pPr>
        <w:rPr>
          <w:rFonts w:ascii="Arial" w:hAnsi="Arial" w:cs="Arial"/>
        </w:rPr>
      </w:pPr>
      <w:r w:rsidRPr="00FF61A0">
        <w:rPr>
          <w:rFonts w:ascii="Arial" w:hAnsi="Arial" w:cs="Arial"/>
          <w:i/>
          <w:sz w:val="18"/>
          <w:szCs w:val="18"/>
        </w:rPr>
        <w:t>NHS England Publications Gateway Reference: 08659</w:t>
      </w:r>
    </w:p>
    <w:sectPr w:rsidR="0065099C" w:rsidRPr="00FF61A0" w:rsidSect="00FF61A0">
      <w:headerReference w:type="default" r:id="rId16"/>
      <w:pgSz w:w="12240" w:h="15840"/>
      <w:pgMar w:top="1440" w:right="1325"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473B" w14:textId="77777777" w:rsidR="0084785F" w:rsidRDefault="0084785F" w:rsidP="0084785F">
      <w:r>
        <w:separator/>
      </w:r>
    </w:p>
  </w:endnote>
  <w:endnote w:type="continuationSeparator" w:id="0">
    <w:p w14:paraId="7E6E4033" w14:textId="77777777" w:rsidR="0084785F" w:rsidRDefault="0084785F" w:rsidP="0084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FE8A" w14:textId="77777777" w:rsidR="0084785F" w:rsidRDefault="0084785F" w:rsidP="0084785F">
      <w:r>
        <w:separator/>
      </w:r>
    </w:p>
  </w:footnote>
  <w:footnote w:type="continuationSeparator" w:id="0">
    <w:p w14:paraId="4F5490D7" w14:textId="77777777" w:rsidR="0084785F" w:rsidRDefault="0084785F" w:rsidP="00847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8337" w14:textId="77777777" w:rsidR="0084785F" w:rsidRDefault="0084785F">
    <w:pPr>
      <w:pStyle w:val="Header"/>
    </w:pPr>
  </w:p>
  <w:p w14:paraId="5947CA78" w14:textId="77777777" w:rsidR="0084785F" w:rsidRDefault="0084785F">
    <w:pPr>
      <w:pStyle w:val="Header"/>
    </w:pPr>
    <w:r w:rsidRPr="00573022">
      <w:rPr>
        <w:noProof/>
        <w:lang w:val="en-GB" w:eastAsia="en-GB"/>
      </w:rPr>
      <w:drawing>
        <wp:inline distT="0" distB="0" distL="0" distR="0" wp14:anchorId="453D5086" wp14:editId="5C46F54D">
          <wp:extent cx="3992880" cy="766769"/>
          <wp:effectExtent l="0" t="0" r="7620" b="0"/>
          <wp:docPr id="6" name="Picture 6" descr="Frimley Health and Care logo Final RGB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Frimley Health and Care logo Final RGB HIGH res.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94498" cy="767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E3094"/>
    <w:multiLevelType w:val="hybridMultilevel"/>
    <w:tmpl w:val="C39CC5B6"/>
    <w:lvl w:ilvl="0" w:tplc="64BAD08A">
      <w:numFmt w:val="bullet"/>
      <w:lvlText w:val="□"/>
      <w:lvlJc w:val="left"/>
      <w:pPr>
        <w:ind w:left="827" w:hanging="361"/>
      </w:pPr>
      <w:rPr>
        <w:rFonts w:ascii="Times New Roman" w:eastAsia="Times New Roman" w:hAnsi="Times New Roman" w:cs="Times New Roman" w:hint="default"/>
        <w:color w:val="0000FF"/>
        <w:w w:val="75"/>
        <w:sz w:val="24"/>
        <w:szCs w:val="24"/>
      </w:rPr>
    </w:lvl>
    <w:lvl w:ilvl="1" w:tplc="EB28E0E6">
      <w:numFmt w:val="bullet"/>
      <w:lvlText w:val="•"/>
      <w:lvlJc w:val="left"/>
      <w:pPr>
        <w:ind w:left="1577" w:hanging="361"/>
      </w:pPr>
      <w:rPr>
        <w:rFonts w:hint="default"/>
      </w:rPr>
    </w:lvl>
    <w:lvl w:ilvl="2" w:tplc="8C284452">
      <w:numFmt w:val="bullet"/>
      <w:lvlText w:val="•"/>
      <w:lvlJc w:val="left"/>
      <w:pPr>
        <w:ind w:left="2335" w:hanging="361"/>
      </w:pPr>
      <w:rPr>
        <w:rFonts w:hint="default"/>
      </w:rPr>
    </w:lvl>
    <w:lvl w:ilvl="3" w:tplc="648A9E86">
      <w:numFmt w:val="bullet"/>
      <w:lvlText w:val="•"/>
      <w:lvlJc w:val="left"/>
      <w:pPr>
        <w:ind w:left="3093" w:hanging="361"/>
      </w:pPr>
      <w:rPr>
        <w:rFonts w:hint="default"/>
      </w:rPr>
    </w:lvl>
    <w:lvl w:ilvl="4" w:tplc="0A12CF7E">
      <w:numFmt w:val="bullet"/>
      <w:lvlText w:val="•"/>
      <w:lvlJc w:val="left"/>
      <w:pPr>
        <w:ind w:left="3850" w:hanging="361"/>
      </w:pPr>
      <w:rPr>
        <w:rFonts w:hint="default"/>
      </w:rPr>
    </w:lvl>
    <w:lvl w:ilvl="5" w:tplc="9A8A2C76">
      <w:numFmt w:val="bullet"/>
      <w:lvlText w:val="•"/>
      <w:lvlJc w:val="left"/>
      <w:pPr>
        <w:ind w:left="4608" w:hanging="361"/>
      </w:pPr>
      <w:rPr>
        <w:rFonts w:hint="default"/>
      </w:rPr>
    </w:lvl>
    <w:lvl w:ilvl="6" w:tplc="202C9E78">
      <w:numFmt w:val="bullet"/>
      <w:lvlText w:val="•"/>
      <w:lvlJc w:val="left"/>
      <w:pPr>
        <w:ind w:left="5366" w:hanging="361"/>
      </w:pPr>
      <w:rPr>
        <w:rFonts w:hint="default"/>
      </w:rPr>
    </w:lvl>
    <w:lvl w:ilvl="7" w:tplc="EBDE56D2">
      <w:numFmt w:val="bullet"/>
      <w:lvlText w:val="•"/>
      <w:lvlJc w:val="left"/>
      <w:pPr>
        <w:ind w:left="6123" w:hanging="361"/>
      </w:pPr>
      <w:rPr>
        <w:rFonts w:hint="default"/>
      </w:rPr>
    </w:lvl>
    <w:lvl w:ilvl="8" w:tplc="16A410D6">
      <w:numFmt w:val="bullet"/>
      <w:lvlText w:val="•"/>
      <w:lvlJc w:val="left"/>
      <w:pPr>
        <w:ind w:left="6881" w:hanging="361"/>
      </w:pPr>
      <w:rPr>
        <w:rFonts w:hint="default"/>
      </w:rPr>
    </w:lvl>
  </w:abstractNum>
  <w:abstractNum w:abstractNumId="1" w15:restartNumberingAfterBreak="0">
    <w:nsid w:val="5D2F14AE"/>
    <w:multiLevelType w:val="hybridMultilevel"/>
    <w:tmpl w:val="0B923DB0"/>
    <w:lvl w:ilvl="0" w:tplc="D7DCADFE">
      <w:start w:val="9"/>
      <w:numFmt w:val="decimal"/>
      <w:lvlText w:val="%1"/>
      <w:lvlJc w:val="left"/>
      <w:pPr>
        <w:ind w:left="218" w:hanging="156"/>
        <w:jc w:val="left"/>
      </w:pPr>
      <w:rPr>
        <w:rFonts w:hint="default"/>
        <w:w w:val="111"/>
        <w:position w:val="8"/>
      </w:rPr>
    </w:lvl>
    <w:lvl w:ilvl="1" w:tplc="575494F2">
      <w:start w:val="1"/>
      <w:numFmt w:val="decimal"/>
      <w:lvlText w:val="%2."/>
      <w:lvlJc w:val="left"/>
      <w:pPr>
        <w:ind w:left="1159" w:hanging="360"/>
        <w:jc w:val="left"/>
      </w:pPr>
      <w:rPr>
        <w:rFonts w:ascii="Times New Roman" w:eastAsia="Times New Roman" w:hAnsi="Times New Roman" w:cs="Times New Roman" w:hint="default"/>
        <w:w w:val="110"/>
        <w:sz w:val="24"/>
        <w:szCs w:val="24"/>
      </w:rPr>
    </w:lvl>
    <w:lvl w:ilvl="2" w:tplc="B2363CB2">
      <w:numFmt w:val="bullet"/>
      <w:lvlText w:val="•"/>
      <w:lvlJc w:val="left"/>
      <w:pPr>
        <w:ind w:left="2076" w:hanging="360"/>
      </w:pPr>
      <w:rPr>
        <w:rFonts w:hint="default"/>
      </w:rPr>
    </w:lvl>
    <w:lvl w:ilvl="3" w:tplc="DB7840C6">
      <w:numFmt w:val="bullet"/>
      <w:lvlText w:val="•"/>
      <w:lvlJc w:val="left"/>
      <w:pPr>
        <w:ind w:left="2992" w:hanging="360"/>
      </w:pPr>
      <w:rPr>
        <w:rFonts w:hint="default"/>
      </w:rPr>
    </w:lvl>
    <w:lvl w:ilvl="4" w:tplc="4F04E326">
      <w:numFmt w:val="bullet"/>
      <w:lvlText w:val="•"/>
      <w:lvlJc w:val="left"/>
      <w:pPr>
        <w:ind w:left="3908" w:hanging="360"/>
      </w:pPr>
      <w:rPr>
        <w:rFonts w:hint="default"/>
      </w:rPr>
    </w:lvl>
    <w:lvl w:ilvl="5" w:tplc="DE285AAE">
      <w:numFmt w:val="bullet"/>
      <w:lvlText w:val="•"/>
      <w:lvlJc w:val="left"/>
      <w:pPr>
        <w:ind w:left="4825" w:hanging="360"/>
      </w:pPr>
      <w:rPr>
        <w:rFonts w:hint="default"/>
      </w:rPr>
    </w:lvl>
    <w:lvl w:ilvl="6" w:tplc="45CC091C">
      <w:numFmt w:val="bullet"/>
      <w:lvlText w:val="•"/>
      <w:lvlJc w:val="left"/>
      <w:pPr>
        <w:ind w:left="5741" w:hanging="360"/>
      </w:pPr>
      <w:rPr>
        <w:rFonts w:hint="default"/>
      </w:rPr>
    </w:lvl>
    <w:lvl w:ilvl="7" w:tplc="B8786294">
      <w:numFmt w:val="bullet"/>
      <w:lvlText w:val="•"/>
      <w:lvlJc w:val="left"/>
      <w:pPr>
        <w:ind w:left="6657" w:hanging="360"/>
      </w:pPr>
      <w:rPr>
        <w:rFonts w:hint="default"/>
      </w:rPr>
    </w:lvl>
    <w:lvl w:ilvl="8" w:tplc="5EB0DB92">
      <w:numFmt w:val="bullet"/>
      <w:lvlText w:val="•"/>
      <w:lvlJc w:val="left"/>
      <w:pPr>
        <w:ind w:left="7573" w:hanging="360"/>
      </w:pPr>
      <w:rPr>
        <w:rFonts w:hint="default"/>
      </w:rPr>
    </w:lvl>
  </w:abstractNum>
  <w:abstractNum w:abstractNumId="2" w15:restartNumberingAfterBreak="0">
    <w:nsid w:val="693A31B8"/>
    <w:multiLevelType w:val="hybridMultilevel"/>
    <w:tmpl w:val="4AF401EC"/>
    <w:lvl w:ilvl="0" w:tplc="100AB976">
      <w:start w:val="1"/>
      <w:numFmt w:val="upperLetter"/>
      <w:lvlText w:val="%1."/>
      <w:lvlJc w:val="left"/>
      <w:pPr>
        <w:ind w:left="218" w:hanging="310"/>
        <w:jc w:val="left"/>
      </w:pPr>
      <w:rPr>
        <w:rFonts w:ascii="Times New Roman" w:eastAsia="Times New Roman" w:hAnsi="Times New Roman" w:cs="Times New Roman" w:hint="default"/>
        <w:spacing w:val="-6"/>
        <w:w w:val="99"/>
        <w:sz w:val="24"/>
        <w:szCs w:val="24"/>
      </w:rPr>
    </w:lvl>
    <w:lvl w:ilvl="1" w:tplc="891ECDCC">
      <w:numFmt w:val="bullet"/>
      <w:lvlText w:val="•"/>
      <w:lvlJc w:val="left"/>
      <w:pPr>
        <w:ind w:left="1138" w:hanging="310"/>
      </w:pPr>
      <w:rPr>
        <w:rFonts w:hint="default"/>
      </w:rPr>
    </w:lvl>
    <w:lvl w:ilvl="2" w:tplc="C212A108">
      <w:numFmt w:val="bullet"/>
      <w:lvlText w:val="•"/>
      <w:lvlJc w:val="left"/>
      <w:pPr>
        <w:ind w:left="2057" w:hanging="310"/>
      </w:pPr>
      <w:rPr>
        <w:rFonts w:hint="default"/>
      </w:rPr>
    </w:lvl>
    <w:lvl w:ilvl="3" w:tplc="2A7A1890">
      <w:numFmt w:val="bullet"/>
      <w:lvlText w:val="•"/>
      <w:lvlJc w:val="left"/>
      <w:pPr>
        <w:ind w:left="2975" w:hanging="310"/>
      </w:pPr>
      <w:rPr>
        <w:rFonts w:hint="default"/>
      </w:rPr>
    </w:lvl>
    <w:lvl w:ilvl="4" w:tplc="CFAC6E8C">
      <w:numFmt w:val="bullet"/>
      <w:lvlText w:val="•"/>
      <w:lvlJc w:val="left"/>
      <w:pPr>
        <w:ind w:left="3894" w:hanging="310"/>
      </w:pPr>
      <w:rPr>
        <w:rFonts w:hint="default"/>
      </w:rPr>
    </w:lvl>
    <w:lvl w:ilvl="5" w:tplc="535C8206">
      <w:numFmt w:val="bullet"/>
      <w:lvlText w:val="•"/>
      <w:lvlJc w:val="left"/>
      <w:pPr>
        <w:ind w:left="4813" w:hanging="310"/>
      </w:pPr>
      <w:rPr>
        <w:rFonts w:hint="default"/>
      </w:rPr>
    </w:lvl>
    <w:lvl w:ilvl="6" w:tplc="B41C0758">
      <w:numFmt w:val="bullet"/>
      <w:lvlText w:val="•"/>
      <w:lvlJc w:val="left"/>
      <w:pPr>
        <w:ind w:left="5731" w:hanging="310"/>
      </w:pPr>
      <w:rPr>
        <w:rFonts w:hint="default"/>
      </w:rPr>
    </w:lvl>
    <w:lvl w:ilvl="7" w:tplc="0A68A112">
      <w:numFmt w:val="bullet"/>
      <w:lvlText w:val="•"/>
      <w:lvlJc w:val="left"/>
      <w:pPr>
        <w:ind w:left="6650" w:hanging="310"/>
      </w:pPr>
      <w:rPr>
        <w:rFonts w:hint="default"/>
      </w:rPr>
    </w:lvl>
    <w:lvl w:ilvl="8" w:tplc="B6D6E77C">
      <w:numFmt w:val="bullet"/>
      <w:lvlText w:val="•"/>
      <w:lvlJc w:val="left"/>
      <w:pPr>
        <w:ind w:left="7569" w:hanging="310"/>
      </w:pPr>
      <w:rPr>
        <w:rFonts w:hint="default"/>
      </w:rPr>
    </w:lvl>
  </w:abstractNum>
  <w:num w:numId="1" w16cid:durableId="649286290">
    <w:abstractNumId w:val="0"/>
  </w:num>
  <w:num w:numId="2" w16cid:durableId="1057052053">
    <w:abstractNumId w:val="1"/>
  </w:num>
  <w:num w:numId="3" w16cid:durableId="839807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88"/>
    <w:rsid w:val="004F23C0"/>
    <w:rsid w:val="0065099C"/>
    <w:rsid w:val="007B037D"/>
    <w:rsid w:val="0084785F"/>
    <w:rsid w:val="00925188"/>
    <w:rsid w:val="00FF6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0B3C0"/>
  <w15:docId w15:val="{FEBD85B3-B421-4BEC-A1FB-A797D313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25188"/>
    <w:pPr>
      <w:widowControl w:val="0"/>
      <w:autoSpaceDE w:val="0"/>
      <w:autoSpaceDN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25188"/>
    <w:rPr>
      <w:sz w:val="24"/>
      <w:szCs w:val="24"/>
    </w:rPr>
  </w:style>
  <w:style w:type="character" w:customStyle="1" w:styleId="BodyTextChar">
    <w:name w:val="Body Text Char"/>
    <w:basedOn w:val="DefaultParagraphFont"/>
    <w:link w:val="BodyText"/>
    <w:uiPriority w:val="1"/>
    <w:rsid w:val="00925188"/>
    <w:rPr>
      <w:sz w:val="24"/>
      <w:szCs w:val="24"/>
      <w:lang w:val="en-US" w:eastAsia="en-US"/>
    </w:rPr>
  </w:style>
  <w:style w:type="paragraph" w:styleId="ListParagraph">
    <w:name w:val="List Paragraph"/>
    <w:basedOn w:val="Normal"/>
    <w:uiPriority w:val="1"/>
    <w:qFormat/>
    <w:rsid w:val="00925188"/>
    <w:pPr>
      <w:ind w:left="645" w:hanging="360"/>
    </w:pPr>
  </w:style>
  <w:style w:type="paragraph" w:customStyle="1" w:styleId="TableParagraph">
    <w:name w:val="Table Paragraph"/>
    <w:basedOn w:val="Normal"/>
    <w:uiPriority w:val="1"/>
    <w:qFormat/>
    <w:rsid w:val="00925188"/>
  </w:style>
  <w:style w:type="character" w:styleId="Hyperlink">
    <w:name w:val="Hyperlink"/>
    <w:basedOn w:val="DefaultParagraphFont"/>
    <w:rsid w:val="004F23C0"/>
    <w:rPr>
      <w:color w:val="0000FF" w:themeColor="hyperlink"/>
      <w:u w:val="single"/>
    </w:rPr>
  </w:style>
  <w:style w:type="paragraph" w:styleId="Header">
    <w:name w:val="header"/>
    <w:basedOn w:val="Normal"/>
    <w:link w:val="HeaderChar"/>
    <w:uiPriority w:val="99"/>
    <w:rsid w:val="0084785F"/>
    <w:pPr>
      <w:tabs>
        <w:tab w:val="center" w:pos="4513"/>
        <w:tab w:val="right" w:pos="9026"/>
      </w:tabs>
    </w:pPr>
  </w:style>
  <w:style w:type="character" w:customStyle="1" w:styleId="HeaderChar">
    <w:name w:val="Header Char"/>
    <w:basedOn w:val="DefaultParagraphFont"/>
    <w:link w:val="Header"/>
    <w:uiPriority w:val="99"/>
    <w:rsid w:val="0084785F"/>
    <w:rPr>
      <w:sz w:val="22"/>
      <w:szCs w:val="22"/>
      <w:lang w:val="en-US" w:eastAsia="en-US"/>
    </w:rPr>
  </w:style>
  <w:style w:type="paragraph" w:styleId="Footer">
    <w:name w:val="footer"/>
    <w:basedOn w:val="Normal"/>
    <w:link w:val="FooterChar"/>
    <w:rsid w:val="0084785F"/>
    <w:pPr>
      <w:tabs>
        <w:tab w:val="center" w:pos="4513"/>
        <w:tab w:val="right" w:pos="9026"/>
      </w:tabs>
    </w:pPr>
  </w:style>
  <w:style w:type="character" w:customStyle="1" w:styleId="FooterChar">
    <w:name w:val="Footer Char"/>
    <w:basedOn w:val="DefaultParagraphFont"/>
    <w:link w:val="Footer"/>
    <w:rsid w:val="0084785F"/>
    <w:rPr>
      <w:sz w:val="22"/>
      <w:szCs w:val="22"/>
      <w:lang w:val="en-US" w:eastAsia="en-US"/>
    </w:rPr>
  </w:style>
  <w:style w:type="paragraph" w:styleId="BalloonText">
    <w:name w:val="Balloon Text"/>
    <w:basedOn w:val="Normal"/>
    <w:link w:val="BalloonTextChar"/>
    <w:rsid w:val="0084785F"/>
    <w:rPr>
      <w:rFonts w:ascii="Tahoma" w:hAnsi="Tahoma" w:cs="Tahoma"/>
      <w:sz w:val="16"/>
      <w:szCs w:val="16"/>
    </w:rPr>
  </w:style>
  <w:style w:type="character" w:customStyle="1" w:styleId="BalloonTextChar">
    <w:name w:val="Balloon Text Char"/>
    <w:basedOn w:val="DefaultParagraphFont"/>
    <w:link w:val="BalloonText"/>
    <w:rsid w:val="0084785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uidance/ipg230/evidence/overview-pdf-" TargetMode="External"/><Relationship Id="rId13" Type="http://schemas.openxmlformats.org/officeDocument/2006/relationships/hyperlink" Target="http://www.nice.org.uk/guidance/ipg230/chapter/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omrc.org.uk/ebi/wp-content/uploads/2021/05/ebi-statutory-guidance.pdf" TargetMode="External"/><Relationship Id="rId12" Type="http://schemas.openxmlformats.org/officeDocument/2006/relationships/hyperlink" Target="http://www.nice.org.uk/guidance/ipg230/evidence/overview-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cape-pain.org/" TargetMode="External"/><Relationship Id="rId5" Type="http://schemas.openxmlformats.org/officeDocument/2006/relationships/footnotes" Target="footnotes.xml"/><Relationship Id="rId15" Type="http://schemas.openxmlformats.org/officeDocument/2006/relationships/hyperlink" Target="http://www.rcseng.ac.uk/-/media/files/rcs/standards-and-" TargetMode="External"/><Relationship Id="rId10" Type="http://schemas.openxmlformats.org/officeDocument/2006/relationships/hyperlink" Target="http://www.nice.org.uk/donotdo/referral-for-arthroscopic-lavage-and-" TargetMode="External"/><Relationship Id="rId4" Type="http://schemas.openxmlformats.org/officeDocument/2006/relationships/webSettings" Target="webSettings.xml"/><Relationship Id="rId9" Type="http://schemas.openxmlformats.org/officeDocument/2006/relationships/hyperlink" Target="http://www.nice.org.uk/guidance/ipg230/chapter/1-Guidance" TargetMode="External"/><Relationship Id="rId14" Type="http://schemas.openxmlformats.org/officeDocument/2006/relationships/hyperlink" Target="http://www.nice.org.uk/donotdo/referral-f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Hall - Senior Contracts Manager</dc:creator>
  <cp:lastModifiedBy>HALL, Karen (FRIMLEY HEALTH NHS FOUNDATION TRUST)</cp:lastModifiedBy>
  <cp:revision>2</cp:revision>
  <dcterms:created xsi:type="dcterms:W3CDTF">2023-02-22T11:51:00Z</dcterms:created>
  <dcterms:modified xsi:type="dcterms:W3CDTF">2023-02-22T11:51:00Z</dcterms:modified>
</cp:coreProperties>
</file>