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7360EC" w:rsidRPr="00776FA5" w14:paraId="09510ED7" w14:textId="77777777" w:rsidTr="007360EC">
        <w:tc>
          <w:tcPr>
            <w:tcW w:w="11058" w:type="dxa"/>
            <w:shd w:val="clear" w:color="auto" w:fill="8EAADB" w:themeFill="accent1" w:themeFillTint="99"/>
          </w:tcPr>
          <w:p w14:paraId="66709D57" w14:textId="77777777" w:rsidR="007360EC" w:rsidRPr="00776FA5" w:rsidRDefault="007360EC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D7516">
              <w:rPr>
                <w:b/>
                <w:bCs/>
                <w:sz w:val="24"/>
                <w:szCs w:val="24"/>
              </w:rPr>
              <w:t>2BB — Pre-operative ECG</w:t>
            </w:r>
          </w:p>
        </w:tc>
      </w:tr>
      <w:tr w:rsidR="007360EC" w:rsidRPr="00776FA5" w14:paraId="403C3832" w14:textId="77777777" w:rsidTr="007360EC">
        <w:tc>
          <w:tcPr>
            <w:tcW w:w="11058" w:type="dxa"/>
            <w:shd w:val="clear" w:color="auto" w:fill="8EAADB" w:themeFill="accent1" w:themeFillTint="99"/>
          </w:tcPr>
          <w:p w14:paraId="05B307BB" w14:textId="77777777" w:rsidR="007360EC" w:rsidRPr="00776FA5" w:rsidRDefault="007360EC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7360EC" w:rsidRPr="00776FA5" w14:paraId="61C08899" w14:textId="77777777" w:rsidTr="007360EC">
        <w:tc>
          <w:tcPr>
            <w:tcW w:w="11058" w:type="dxa"/>
          </w:tcPr>
          <w:p w14:paraId="6144B6E5" w14:textId="77777777" w:rsidR="007360EC" w:rsidRPr="00776FA5" w:rsidRDefault="007360EC" w:rsidP="00F4396E">
            <w:pPr>
              <w:pStyle w:val="NoSpacing"/>
            </w:pPr>
            <w:r w:rsidRPr="00776FA5">
              <w:t>Performance of a resting electrocardiogram (ECG) in asymptomatic adult</w:t>
            </w:r>
            <w:r>
              <w:t xml:space="preserve"> </w:t>
            </w:r>
            <w:r w:rsidRPr="00776FA5">
              <w:t>patients undergoing low-risk, non-cardiac elective surgery during the preoperative</w:t>
            </w:r>
            <w:r>
              <w:t xml:space="preserve"> </w:t>
            </w:r>
            <w:r w:rsidRPr="00776FA5">
              <w:t>assessment is not necessary.</w:t>
            </w:r>
          </w:p>
          <w:p w14:paraId="24295C24" w14:textId="77777777" w:rsidR="007360EC" w:rsidRPr="00776FA5" w:rsidRDefault="007360E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7360EC" w:rsidRPr="00776FA5" w14:paraId="26A5CC77" w14:textId="77777777" w:rsidTr="007360EC">
        <w:tc>
          <w:tcPr>
            <w:tcW w:w="11058" w:type="dxa"/>
            <w:shd w:val="clear" w:color="auto" w:fill="8EAADB" w:themeFill="accent1" w:themeFillTint="99"/>
          </w:tcPr>
          <w:p w14:paraId="32454646" w14:textId="77777777" w:rsidR="007360EC" w:rsidRPr="00776FA5" w:rsidRDefault="007360E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7360EC" w:rsidRPr="00776FA5" w14:paraId="7283168D" w14:textId="77777777" w:rsidTr="007360EC">
        <w:tc>
          <w:tcPr>
            <w:tcW w:w="11058" w:type="dxa"/>
            <w:shd w:val="clear" w:color="auto" w:fill="FFFFFF" w:themeFill="background1"/>
          </w:tcPr>
          <w:p w14:paraId="41A1AD53" w14:textId="77777777" w:rsidR="007360EC" w:rsidRPr="007D7516" w:rsidRDefault="007360EC" w:rsidP="00F4396E">
            <w:pPr>
              <w:pStyle w:val="NoSpacing"/>
            </w:pPr>
            <w:r w:rsidRPr="00776FA5">
              <w:t>Data are not currently available</w:t>
            </w:r>
          </w:p>
        </w:tc>
      </w:tr>
      <w:tr w:rsidR="007360EC" w:rsidRPr="00776FA5" w14:paraId="1F79E275" w14:textId="77777777" w:rsidTr="007360EC">
        <w:tc>
          <w:tcPr>
            <w:tcW w:w="11058" w:type="dxa"/>
            <w:shd w:val="clear" w:color="auto" w:fill="8EAADB" w:themeFill="accent1" w:themeFillTint="99"/>
          </w:tcPr>
          <w:p w14:paraId="2A05116A" w14:textId="77777777" w:rsidR="007360EC" w:rsidRPr="00776FA5" w:rsidRDefault="007360E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7360EC" w:rsidRPr="00776FA5" w14:paraId="7A99046D" w14:textId="77777777" w:rsidTr="007360EC">
        <w:tc>
          <w:tcPr>
            <w:tcW w:w="11058" w:type="dxa"/>
          </w:tcPr>
          <w:p w14:paraId="21F158E7" w14:textId="77777777" w:rsidR="007360EC" w:rsidRPr="00776FA5" w:rsidRDefault="007360EC" w:rsidP="00F4396E">
            <w:pPr>
              <w:pStyle w:val="NoSpacing"/>
            </w:pPr>
            <w:r w:rsidRPr="00776FA5">
              <w:t>Pre-operative electrocardiograms should not be routinely performed in low</w:t>
            </w:r>
            <w:r>
              <w:t xml:space="preserve"> </w:t>
            </w:r>
            <w:r w:rsidRPr="00776FA5">
              <w:t>risk,</w:t>
            </w:r>
            <w:r>
              <w:t xml:space="preserve"> </w:t>
            </w:r>
            <w:r w:rsidRPr="00776FA5">
              <w:t>non-cardiac, adult elective surgical patients.</w:t>
            </w:r>
          </w:p>
          <w:p w14:paraId="42EC6AD0" w14:textId="77777777" w:rsidR="007360EC" w:rsidRPr="00776FA5" w:rsidRDefault="007360EC" w:rsidP="00F4396E">
            <w:pPr>
              <w:pStyle w:val="NoSpacing"/>
            </w:pPr>
            <w:r w:rsidRPr="00776FA5">
              <w:t>However, they may be appropriately performed when the following criteria</w:t>
            </w:r>
            <w:r>
              <w:t xml:space="preserve"> </w:t>
            </w:r>
            <w:r w:rsidRPr="00776FA5">
              <w:t>apply:</w:t>
            </w:r>
          </w:p>
          <w:p w14:paraId="02CA7FB0" w14:textId="77777777" w:rsidR="007360EC" w:rsidRPr="00776FA5" w:rsidRDefault="007360EC" w:rsidP="00F4396E">
            <w:pPr>
              <w:pStyle w:val="NoSpacing"/>
            </w:pPr>
            <w:r w:rsidRPr="00776FA5">
              <w:t>— Patients with an American Society of Anaesthesiologists (ASA) physical</w:t>
            </w:r>
            <w:r>
              <w:t xml:space="preserve"> </w:t>
            </w:r>
            <w:r w:rsidRPr="00776FA5">
              <w:t>classification status of 3 or greater and no ECG results available for</w:t>
            </w:r>
            <w:r>
              <w:t xml:space="preserve"> </w:t>
            </w:r>
            <w:r w:rsidRPr="00776FA5">
              <w:t>review in the last 12 months</w:t>
            </w:r>
          </w:p>
          <w:p w14:paraId="2D913969" w14:textId="77777777" w:rsidR="007360EC" w:rsidRPr="00776FA5" w:rsidRDefault="007360EC" w:rsidP="00F4396E">
            <w:pPr>
              <w:pStyle w:val="NoSpacing"/>
            </w:pPr>
            <w:r w:rsidRPr="00776FA5">
              <w:t>— Patients with a history of cardiovascular or renal disease, or diabetes</w:t>
            </w:r>
          </w:p>
          <w:p w14:paraId="37544D03" w14:textId="77777777" w:rsidR="007360EC" w:rsidRPr="00776FA5" w:rsidRDefault="007360EC" w:rsidP="00F4396E">
            <w:pPr>
              <w:pStyle w:val="NoSpacing"/>
            </w:pPr>
            <w:r w:rsidRPr="00776FA5">
              <w:t>— Patients with any history of potential cardiac symptoms (e.g. cardiac</w:t>
            </w:r>
            <w:r>
              <w:t xml:space="preserve"> </w:t>
            </w:r>
            <w:r w:rsidRPr="00776FA5">
              <w:t xml:space="preserve">chest pain, palpitations, unexplained </w:t>
            </w:r>
            <w:proofErr w:type="gramStart"/>
            <w:r w:rsidRPr="00776FA5">
              <w:t>syncope</w:t>
            </w:r>
            <w:proofErr w:type="gramEnd"/>
            <w:r w:rsidRPr="00776FA5">
              <w:t xml:space="preserve"> or breathlessness) or a</w:t>
            </w:r>
            <w:r>
              <w:t xml:space="preserve"> </w:t>
            </w:r>
            <w:r w:rsidRPr="00776FA5">
              <w:t>new murmur, that has not previously been investigated</w:t>
            </w:r>
          </w:p>
          <w:p w14:paraId="381B2ABB" w14:textId="77777777" w:rsidR="007360EC" w:rsidRPr="00776FA5" w:rsidRDefault="007360EC" w:rsidP="00F4396E">
            <w:pPr>
              <w:pStyle w:val="NoSpacing"/>
            </w:pPr>
            <w:r w:rsidRPr="00776FA5">
              <w:t>— Patients over the age of 65 attending for major surgery.</w:t>
            </w:r>
          </w:p>
          <w:p w14:paraId="05431C15" w14:textId="77777777" w:rsidR="007360EC" w:rsidRPr="00776FA5" w:rsidRDefault="007360EC" w:rsidP="00F4396E">
            <w:pPr>
              <w:pStyle w:val="NoSpacing"/>
            </w:pPr>
            <w:r w:rsidRPr="00776FA5">
              <w:t>Where pre-operative tests are completed outside the centre in which surgery</w:t>
            </w:r>
            <w:r>
              <w:t xml:space="preserve"> </w:t>
            </w:r>
            <w:r w:rsidRPr="00776FA5">
              <w:t>will be completed, avoid</w:t>
            </w:r>
            <w:r>
              <w:t xml:space="preserve"> </w:t>
            </w:r>
            <w:r w:rsidRPr="00776FA5">
              <w:t>unnecessarily repeating these tests on admission</w:t>
            </w:r>
            <w:r>
              <w:t xml:space="preserve"> </w:t>
            </w:r>
            <w:r w:rsidRPr="00776FA5">
              <w:t>and ensure appropriate transfer of images takes place.</w:t>
            </w:r>
          </w:p>
        </w:tc>
      </w:tr>
      <w:tr w:rsidR="007360EC" w:rsidRPr="00776FA5" w14:paraId="0669C523" w14:textId="77777777" w:rsidTr="007360EC">
        <w:tc>
          <w:tcPr>
            <w:tcW w:w="11058" w:type="dxa"/>
            <w:shd w:val="clear" w:color="auto" w:fill="8EAADB" w:themeFill="accent1" w:themeFillTint="99"/>
          </w:tcPr>
          <w:p w14:paraId="5B4BCFA5" w14:textId="77777777" w:rsidR="007360EC" w:rsidRPr="00776FA5" w:rsidRDefault="007360E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7360EC" w:rsidRPr="00776FA5" w14:paraId="060EE4AF" w14:textId="77777777" w:rsidTr="007360EC">
        <w:tc>
          <w:tcPr>
            <w:tcW w:w="11058" w:type="dxa"/>
          </w:tcPr>
          <w:p w14:paraId="22BC7B2D" w14:textId="77777777" w:rsidR="007360EC" w:rsidRPr="00776FA5" w:rsidRDefault="007360EC" w:rsidP="00F4396E">
            <w:pPr>
              <w:pStyle w:val="NoSpacing"/>
            </w:pPr>
            <w:r w:rsidRPr="00776FA5">
              <w:t>In the UK, most patients are seen in preoperative assessment clinics within</w:t>
            </w:r>
            <w:r>
              <w:t xml:space="preserve"> </w:t>
            </w:r>
            <w:r w:rsidRPr="00776FA5">
              <w:t>12 weeks of elective surgery, where a structured history and examination</w:t>
            </w:r>
            <w:r>
              <w:t xml:space="preserve"> </w:t>
            </w:r>
            <w:r w:rsidRPr="00776FA5">
              <w:t>is performed by a nurse. Relevant preoperative investigations may also be</w:t>
            </w:r>
          </w:p>
          <w:p w14:paraId="33CE2E50" w14:textId="77777777" w:rsidR="007360EC" w:rsidRPr="00776FA5" w:rsidRDefault="007360EC" w:rsidP="00F4396E">
            <w:pPr>
              <w:pStyle w:val="NoSpacing"/>
            </w:pPr>
            <w:r w:rsidRPr="00776FA5">
              <w:t>taken according to locally developed protocols.</w:t>
            </w:r>
          </w:p>
          <w:p w14:paraId="07D3790D" w14:textId="77777777" w:rsidR="007360EC" w:rsidRPr="00776FA5" w:rsidRDefault="007360EC" w:rsidP="00F4396E">
            <w:pPr>
              <w:pStyle w:val="NoSpacing"/>
            </w:pPr>
            <w:r w:rsidRPr="00776FA5">
              <w:t>Routine preoperative investigations are expensive, labour intensive, and</w:t>
            </w:r>
            <w:r>
              <w:t xml:space="preserve"> </w:t>
            </w:r>
            <w:r w:rsidRPr="00776FA5">
              <w:t>of questionable value unless shown to affect quality of care or clinical</w:t>
            </w:r>
            <w:r>
              <w:t xml:space="preserve"> </w:t>
            </w:r>
            <w:r w:rsidRPr="00776FA5">
              <w:t>outcomes. Tests which have not been shown to change outcomes or</w:t>
            </w:r>
            <w:r>
              <w:t xml:space="preserve"> </w:t>
            </w:r>
            <w:r w:rsidRPr="00776FA5">
              <w:t>influence perioperative management may cause anxiety for patients,</w:t>
            </w:r>
            <w:r>
              <w:t xml:space="preserve"> </w:t>
            </w:r>
            <w:r w:rsidRPr="00776FA5">
              <w:t>delays in treatment due to results of uncertain relevance, and referral for</w:t>
            </w:r>
            <w:r>
              <w:t xml:space="preserve"> </w:t>
            </w:r>
            <w:r w:rsidRPr="00776FA5">
              <w:t>further investigations or treatment. In addition, some investigations can be</w:t>
            </w:r>
            <w:r>
              <w:t xml:space="preserve"> </w:t>
            </w:r>
            <w:r w:rsidRPr="00776FA5">
              <w:t>associated with increased patient morbidity. A more structured approach is</w:t>
            </w:r>
            <w:r>
              <w:t xml:space="preserve"> </w:t>
            </w:r>
            <w:r w:rsidRPr="00776FA5">
              <w:t>therefore required.</w:t>
            </w:r>
          </w:p>
          <w:p w14:paraId="56D78DDC" w14:textId="77777777" w:rsidR="007360EC" w:rsidRPr="00776FA5" w:rsidRDefault="007360EC" w:rsidP="00F4396E">
            <w:pPr>
              <w:pStyle w:val="NoSpacing"/>
            </w:pPr>
            <w:r w:rsidRPr="00776FA5">
              <w:t>In general, patients who are otherwise healthy or having relatively non</w:t>
            </w:r>
            <w:r>
              <w:t>-</w:t>
            </w:r>
            <w:r w:rsidRPr="00776FA5">
              <w:t>invasive</w:t>
            </w:r>
            <w:r>
              <w:t xml:space="preserve"> </w:t>
            </w:r>
            <w:r w:rsidRPr="00776FA5">
              <w:t>surgery may require few, if any, pre-operative tests.</w:t>
            </w:r>
          </w:p>
          <w:p w14:paraId="266A1C39" w14:textId="77777777" w:rsidR="007360EC" w:rsidRPr="00776FA5" w:rsidRDefault="007360EC" w:rsidP="00F4396E">
            <w:pPr>
              <w:pStyle w:val="NoSpacing"/>
            </w:pPr>
            <w:r w:rsidRPr="00776FA5">
              <w:t>NICE recommend that ECGs should not be routinely offered before low risk,</w:t>
            </w:r>
            <w:r>
              <w:t xml:space="preserve"> </w:t>
            </w:r>
            <w:r w:rsidRPr="00776FA5">
              <w:t>non-cardiac elective surgery. Low risk surgery includes minor or intermediate</w:t>
            </w:r>
            <w:r>
              <w:t xml:space="preserve"> </w:t>
            </w:r>
            <w:r w:rsidRPr="00776FA5">
              <w:t>procedures, such as excision of skin lesions, abscess drainage, knee</w:t>
            </w:r>
            <w:r>
              <w:t xml:space="preserve"> </w:t>
            </w:r>
            <w:r w:rsidRPr="00776FA5">
              <w:t>arthroscopy or hernia repair.</w:t>
            </w:r>
          </w:p>
          <w:p w14:paraId="4FC96E61" w14:textId="77777777" w:rsidR="007360EC" w:rsidRDefault="007360EC" w:rsidP="00F4396E">
            <w:pPr>
              <w:pStyle w:val="NoSpacing"/>
            </w:pPr>
          </w:p>
          <w:p w14:paraId="7D9C5780" w14:textId="77777777" w:rsidR="007360EC" w:rsidRPr="00776FA5" w:rsidRDefault="007360EC" w:rsidP="00F4396E">
            <w:pPr>
              <w:pStyle w:val="NoSpacing"/>
            </w:pPr>
            <w:r w:rsidRPr="00776FA5">
              <w:t>However, some patient groups should have ECG pre-operatively. This can</w:t>
            </w:r>
            <w:r>
              <w:t xml:space="preserve"> </w:t>
            </w:r>
            <w:r w:rsidRPr="00776FA5">
              <w:t>include patients who have a history of cardiovascular disease (such as heart</w:t>
            </w:r>
            <w:r>
              <w:t xml:space="preserve"> </w:t>
            </w:r>
            <w:r w:rsidRPr="00776FA5">
              <w:t>attack, stroke, heart failure, peripheral arterial disease), palpitations or comorbidities</w:t>
            </w:r>
            <w:r>
              <w:t xml:space="preserve"> </w:t>
            </w:r>
            <w:r w:rsidRPr="00776FA5">
              <w:t>that would predispose them to cardiovascular disease such as</w:t>
            </w:r>
            <w:r>
              <w:t xml:space="preserve"> </w:t>
            </w:r>
            <w:r w:rsidRPr="00776FA5">
              <w:t>diabetes or renal disease. In addition, patients who are assessed as higher</w:t>
            </w:r>
            <w:r>
              <w:t xml:space="preserve"> </w:t>
            </w:r>
            <w:r w:rsidRPr="00776FA5">
              <w:t>risk, and therefore scored as an ASA physical classification status of 3 or</w:t>
            </w:r>
            <w:r>
              <w:t xml:space="preserve"> </w:t>
            </w:r>
            <w:r w:rsidRPr="00776FA5">
              <w:t>more (patient has severe systemic disease), with no ECG in the preceding 12</w:t>
            </w:r>
            <w:r>
              <w:t xml:space="preserve"> </w:t>
            </w:r>
            <w:r w:rsidRPr="00776FA5">
              <w:t>months, would benefit from further investigation.</w:t>
            </w:r>
          </w:p>
          <w:p w14:paraId="71D5C8A7" w14:textId="77777777" w:rsidR="007360EC" w:rsidRPr="00776FA5" w:rsidRDefault="007360EC" w:rsidP="00F4396E">
            <w:pPr>
              <w:pStyle w:val="NoSpacing"/>
            </w:pPr>
            <w:r w:rsidRPr="00776FA5">
              <w:t>Finally, an ECG would be prudent in patients over the age of 65 attending for</w:t>
            </w:r>
            <w:r>
              <w:t xml:space="preserve"> </w:t>
            </w:r>
            <w:r w:rsidRPr="00776FA5">
              <w:t>major surgery.</w:t>
            </w:r>
          </w:p>
          <w:p w14:paraId="317F91F3" w14:textId="77777777" w:rsidR="007360EC" w:rsidRPr="00776FA5" w:rsidRDefault="007360EC" w:rsidP="00F4396E">
            <w:pPr>
              <w:pStyle w:val="NoSpacing"/>
            </w:pPr>
          </w:p>
        </w:tc>
      </w:tr>
      <w:tr w:rsidR="007360EC" w:rsidRPr="00776FA5" w14:paraId="194C5995" w14:textId="77777777" w:rsidTr="007360EC">
        <w:tc>
          <w:tcPr>
            <w:tcW w:w="11058" w:type="dxa"/>
            <w:shd w:val="clear" w:color="auto" w:fill="8EAADB" w:themeFill="accent1" w:themeFillTint="99"/>
          </w:tcPr>
          <w:p w14:paraId="0467B30B" w14:textId="77777777" w:rsidR="007360EC" w:rsidRPr="00776FA5" w:rsidRDefault="007360EC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7360EC" w:rsidRPr="00776FA5" w14:paraId="24FF3094" w14:textId="77777777" w:rsidTr="007360EC">
        <w:tc>
          <w:tcPr>
            <w:tcW w:w="11058" w:type="dxa"/>
          </w:tcPr>
          <w:p w14:paraId="21155F87" w14:textId="77777777" w:rsidR="007360EC" w:rsidRPr="007360EC" w:rsidRDefault="007360EC" w:rsidP="00F4396E">
            <w:pPr>
              <w:pStyle w:val="NoSpacing"/>
              <w:rPr>
                <w:sz w:val="16"/>
                <w:szCs w:val="16"/>
              </w:rPr>
            </w:pPr>
            <w:r w:rsidRPr="007360EC">
              <w:rPr>
                <w:sz w:val="16"/>
                <w:szCs w:val="16"/>
              </w:rPr>
              <w:t xml:space="preserve">1. O’Neill F, Carter E, Pink N, Smith I. Routine preoperative tests for elective surgery: summary of updated NICE guidance. BMJ 2016; 354: </w:t>
            </w:r>
            <w:proofErr w:type="spellStart"/>
            <w:r w:rsidRPr="007360EC">
              <w:rPr>
                <w:sz w:val="16"/>
                <w:szCs w:val="16"/>
              </w:rPr>
              <w:t>doi</w:t>
            </w:r>
            <w:proofErr w:type="spellEnd"/>
            <w:r w:rsidRPr="007360EC">
              <w:rPr>
                <w:sz w:val="16"/>
                <w:szCs w:val="16"/>
              </w:rPr>
              <w:t>: https://doi.org/10.1136/bmj.i3292.</w:t>
            </w:r>
          </w:p>
          <w:p w14:paraId="4BFE92F0" w14:textId="77777777" w:rsidR="007360EC" w:rsidRPr="007360EC" w:rsidRDefault="007360EC" w:rsidP="00F4396E">
            <w:pPr>
              <w:pStyle w:val="NoSpacing"/>
              <w:rPr>
                <w:sz w:val="16"/>
                <w:szCs w:val="16"/>
              </w:rPr>
            </w:pPr>
            <w:r w:rsidRPr="007360EC">
              <w:rPr>
                <w:sz w:val="16"/>
                <w:szCs w:val="16"/>
              </w:rPr>
              <w:t>2. NICE Guidelines. Routine preoperative tests for elective surgery. NICE Guidelines (NG45); 2016: https://www.nice.org.uk/guidance/NG45.</w:t>
            </w:r>
          </w:p>
          <w:p w14:paraId="0057D350" w14:textId="77777777" w:rsidR="007360EC" w:rsidRPr="007360EC" w:rsidRDefault="007360EC" w:rsidP="00F4396E">
            <w:pPr>
              <w:pStyle w:val="NoSpacing"/>
              <w:rPr>
                <w:sz w:val="16"/>
                <w:szCs w:val="16"/>
              </w:rPr>
            </w:pPr>
            <w:r w:rsidRPr="007360EC">
              <w:rPr>
                <w:sz w:val="16"/>
                <w:szCs w:val="16"/>
              </w:rPr>
              <w:t>3. Klein AA, Arrowsmith JE. Should routine preoperative testing be abandoned? Anaesthesia 2010; 65: 974-76.</w:t>
            </w:r>
          </w:p>
          <w:p w14:paraId="44525A89" w14:textId="77777777" w:rsidR="007360EC" w:rsidRPr="007360EC" w:rsidRDefault="007360EC" w:rsidP="00F4396E">
            <w:pPr>
              <w:pStyle w:val="NoSpacing"/>
              <w:rPr>
                <w:sz w:val="16"/>
                <w:szCs w:val="16"/>
              </w:rPr>
            </w:pPr>
            <w:r w:rsidRPr="007360EC">
              <w:rPr>
                <w:sz w:val="16"/>
                <w:szCs w:val="16"/>
              </w:rPr>
              <w:t>4. Association of Anaesthetists of Great Britain and Ireland. Pre-operative assessment and patient preparation: the role of the anaesthetist 2. AAGBI 2010: www.aagbi.org/sites/default/files/preop2010.pdf.</w:t>
            </w:r>
          </w:p>
          <w:p w14:paraId="266815A3" w14:textId="77777777" w:rsidR="007360EC" w:rsidRPr="007360EC" w:rsidRDefault="007360EC" w:rsidP="00F4396E">
            <w:pPr>
              <w:pStyle w:val="NoSpacing"/>
              <w:rPr>
                <w:sz w:val="16"/>
                <w:szCs w:val="16"/>
              </w:rPr>
            </w:pPr>
            <w:r w:rsidRPr="007360EC">
              <w:rPr>
                <w:sz w:val="16"/>
                <w:szCs w:val="16"/>
              </w:rPr>
              <w:t xml:space="preserve">5. ASA Physical Status Classification System: </w:t>
            </w:r>
            <w:hyperlink r:id="rId7" w:history="1">
              <w:r w:rsidRPr="007360EC">
                <w:rPr>
                  <w:rStyle w:val="Hyperlink"/>
                  <w:sz w:val="16"/>
                  <w:szCs w:val="16"/>
                </w:rPr>
                <w:t>https://www.asahq.org/</w:t>
              </w:r>
            </w:hyperlink>
            <w:r w:rsidRPr="007360EC">
              <w:rPr>
                <w:sz w:val="16"/>
                <w:szCs w:val="16"/>
              </w:rPr>
              <w:t xml:space="preserve"> standards-and-guidelines/asa-physical-status-classification-system.</w:t>
            </w:r>
          </w:p>
          <w:p w14:paraId="0212C43E" w14:textId="77777777" w:rsidR="007360EC" w:rsidRPr="00776FA5" w:rsidRDefault="007360EC" w:rsidP="00F4396E">
            <w:pPr>
              <w:pStyle w:val="NoSpacing"/>
            </w:pPr>
          </w:p>
        </w:tc>
      </w:tr>
    </w:tbl>
    <w:p w14:paraId="5B744933" w14:textId="77777777" w:rsidR="008570E8" w:rsidRPr="00446D44" w:rsidRDefault="008570E8" w:rsidP="00677102">
      <w:pPr>
        <w:rPr>
          <w:rFonts w:cstheme="minorHAnsi"/>
        </w:rPr>
      </w:pPr>
    </w:p>
    <w:sectPr w:rsidR="008570E8" w:rsidRPr="00446D44" w:rsidSect="00530640">
      <w:headerReference w:type="default" r:id="rId8"/>
      <w:footerReference w:type="default" r:id="rId9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55C6B"/>
    <w:rsid w:val="001E2266"/>
    <w:rsid w:val="002A0ACD"/>
    <w:rsid w:val="002D39E6"/>
    <w:rsid w:val="002E7B33"/>
    <w:rsid w:val="00335D5E"/>
    <w:rsid w:val="00384B66"/>
    <w:rsid w:val="003F2868"/>
    <w:rsid w:val="003F70AD"/>
    <w:rsid w:val="00446D44"/>
    <w:rsid w:val="0048194F"/>
    <w:rsid w:val="004B43D1"/>
    <w:rsid w:val="004D1171"/>
    <w:rsid w:val="004D141C"/>
    <w:rsid w:val="00530640"/>
    <w:rsid w:val="00554FE4"/>
    <w:rsid w:val="00606332"/>
    <w:rsid w:val="00617F55"/>
    <w:rsid w:val="00677102"/>
    <w:rsid w:val="007037AA"/>
    <w:rsid w:val="00706CF7"/>
    <w:rsid w:val="007113CE"/>
    <w:rsid w:val="00720DC3"/>
    <w:rsid w:val="00726489"/>
    <w:rsid w:val="007360EC"/>
    <w:rsid w:val="007474AD"/>
    <w:rsid w:val="00761BF1"/>
    <w:rsid w:val="007C24EB"/>
    <w:rsid w:val="007C3662"/>
    <w:rsid w:val="007F212E"/>
    <w:rsid w:val="00802A54"/>
    <w:rsid w:val="0080506D"/>
    <w:rsid w:val="0084628B"/>
    <w:rsid w:val="008570E8"/>
    <w:rsid w:val="008856AE"/>
    <w:rsid w:val="00892FBA"/>
    <w:rsid w:val="008D3093"/>
    <w:rsid w:val="00996999"/>
    <w:rsid w:val="009A60CA"/>
    <w:rsid w:val="009E3D4C"/>
    <w:rsid w:val="00A42552"/>
    <w:rsid w:val="00A632E2"/>
    <w:rsid w:val="00A935D6"/>
    <w:rsid w:val="00B12A9C"/>
    <w:rsid w:val="00B3443C"/>
    <w:rsid w:val="00B432F9"/>
    <w:rsid w:val="00B538EF"/>
    <w:rsid w:val="00B71178"/>
    <w:rsid w:val="00C46A3B"/>
    <w:rsid w:val="00C573AD"/>
    <w:rsid w:val="00C65E16"/>
    <w:rsid w:val="00CA4A90"/>
    <w:rsid w:val="00CA5DE2"/>
    <w:rsid w:val="00DD0AFD"/>
    <w:rsid w:val="00DD5B47"/>
    <w:rsid w:val="00DE5A06"/>
    <w:rsid w:val="00F059BA"/>
    <w:rsid w:val="00F6232D"/>
    <w:rsid w:val="00F66AF0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ahq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2021-11-01T14:47:00Z</dcterms:created>
  <dcterms:modified xsi:type="dcterms:W3CDTF">2021-11-01T14:47:00Z</dcterms:modified>
</cp:coreProperties>
</file>