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677102" w:rsidRPr="00776FA5" w14:paraId="66E6B14C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678EA898" w14:textId="77777777" w:rsidR="00677102" w:rsidRPr="00776FA5" w:rsidRDefault="00677102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111EA5">
              <w:rPr>
                <w:b/>
                <w:bCs/>
                <w:sz w:val="24"/>
                <w:szCs w:val="24"/>
              </w:rPr>
              <w:t>2M — Upper GI endoscopy</w:t>
            </w:r>
          </w:p>
        </w:tc>
      </w:tr>
      <w:tr w:rsidR="00677102" w:rsidRPr="00776FA5" w14:paraId="3B31DCA0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3B2CA7E5" w14:textId="77777777" w:rsidR="00677102" w:rsidRPr="00776FA5" w:rsidRDefault="00677102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677102" w:rsidRPr="00776FA5" w14:paraId="58303B9A" w14:textId="77777777" w:rsidTr="00677102">
        <w:tc>
          <w:tcPr>
            <w:tcW w:w="11340" w:type="dxa"/>
          </w:tcPr>
          <w:p w14:paraId="02E9B734" w14:textId="77777777" w:rsidR="00677102" w:rsidRPr="00776FA5" w:rsidRDefault="00677102" w:rsidP="00F4396E">
            <w:pPr>
              <w:pStyle w:val="NoSpacing"/>
            </w:pPr>
            <w:r w:rsidRPr="00776FA5">
              <w:t>Endoscopy is an invasive procedure and is not always well tolerated. It</w:t>
            </w:r>
            <w:r>
              <w:t xml:space="preserve"> </w:t>
            </w:r>
            <w:r w:rsidRPr="00776FA5">
              <w:t>carries significant risks and should not be</w:t>
            </w:r>
            <w:r>
              <w:t xml:space="preserve"> </w:t>
            </w:r>
            <w:r w:rsidRPr="00776FA5">
              <w:t>used as a first-line indication in all</w:t>
            </w:r>
            <w:r>
              <w:t xml:space="preserve"> </w:t>
            </w:r>
            <w:r w:rsidRPr="00776FA5">
              <w:t>patients.</w:t>
            </w:r>
          </w:p>
          <w:p w14:paraId="5B25E788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677102" w:rsidRPr="00776FA5" w14:paraId="2BB6727A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4D6B62B4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677102" w:rsidRPr="00776FA5" w14:paraId="23FAD38C" w14:textId="77777777" w:rsidTr="00677102">
        <w:tc>
          <w:tcPr>
            <w:tcW w:w="11340" w:type="dxa"/>
            <w:shd w:val="clear" w:color="auto" w:fill="FFFFFF" w:themeFill="background1"/>
          </w:tcPr>
          <w:p w14:paraId="1152790E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644,038</w:t>
            </w:r>
          </w:p>
        </w:tc>
      </w:tr>
      <w:tr w:rsidR="00677102" w:rsidRPr="00776FA5" w14:paraId="53111CB2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689263F2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677102" w:rsidRPr="00776FA5" w14:paraId="7BE9AB28" w14:textId="77777777" w:rsidTr="00677102">
        <w:tc>
          <w:tcPr>
            <w:tcW w:w="11340" w:type="dxa"/>
          </w:tcPr>
          <w:p w14:paraId="5286B413" w14:textId="77777777" w:rsidR="00677102" w:rsidRPr="00776FA5" w:rsidRDefault="00677102" w:rsidP="00F4396E">
            <w:pPr>
              <w:pStyle w:val="NoSpacing"/>
            </w:pPr>
            <w:r w:rsidRPr="00776FA5">
              <w:t>Upper GI Endoscopy should only be performed if the patient meets the</w:t>
            </w:r>
            <w:r>
              <w:t xml:space="preserve"> </w:t>
            </w:r>
            <w:r w:rsidRPr="00776FA5">
              <w:t>following criteria:</w:t>
            </w:r>
          </w:p>
          <w:p w14:paraId="14B72DD2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Urgent: (Within two weeks)</w:t>
            </w:r>
          </w:p>
          <w:p w14:paraId="5265A0DD" w14:textId="77777777" w:rsidR="00677102" w:rsidRPr="00776FA5" w:rsidRDefault="00677102" w:rsidP="00F4396E">
            <w:pPr>
              <w:pStyle w:val="NoSpacing"/>
            </w:pPr>
            <w:r w:rsidRPr="00776FA5">
              <w:t>— Any dysphagia (difficulty in swallowing), to prioritise urgent assessment</w:t>
            </w:r>
            <w:r>
              <w:t xml:space="preserve"> </w:t>
            </w:r>
            <w:r w:rsidRPr="00776FA5">
              <w:t>of dysphagia please refer to the Edinburgh Dysphagia Score OR</w:t>
            </w:r>
          </w:p>
          <w:p w14:paraId="1FD91461" w14:textId="77777777" w:rsidR="00677102" w:rsidRPr="00776FA5" w:rsidRDefault="00677102" w:rsidP="00F4396E">
            <w:pPr>
              <w:pStyle w:val="NoSpacing"/>
            </w:pPr>
            <w:r w:rsidRPr="00776FA5">
              <w:t>— Aged 55 and over with weight loss and any of the following:</w:t>
            </w:r>
          </w:p>
          <w:p w14:paraId="65EF9BC3" w14:textId="77777777" w:rsidR="00677102" w:rsidRPr="00776FA5" w:rsidRDefault="00677102" w:rsidP="00F4396E">
            <w:pPr>
              <w:pStyle w:val="NoSpacing"/>
            </w:pPr>
            <w:r w:rsidRPr="00776FA5">
              <w:t>— Upper abdominal pain</w:t>
            </w:r>
          </w:p>
          <w:p w14:paraId="34376F77" w14:textId="77777777" w:rsidR="00677102" w:rsidRPr="00776FA5" w:rsidRDefault="00677102" w:rsidP="00F4396E">
            <w:pPr>
              <w:pStyle w:val="NoSpacing"/>
            </w:pPr>
            <w:r w:rsidRPr="00776FA5">
              <w:t>— Reflux</w:t>
            </w:r>
          </w:p>
          <w:p w14:paraId="4DBC0A16" w14:textId="77777777" w:rsidR="00677102" w:rsidRPr="00776FA5" w:rsidRDefault="00677102" w:rsidP="00F4396E">
            <w:pPr>
              <w:pStyle w:val="NoSpacing"/>
            </w:pPr>
            <w:r w:rsidRPr="00776FA5">
              <w:t>— Dyspepsia (4 weeks of upper abdominal pain or discomfort</w:t>
            </w:r>
          </w:p>
          <w:p w14:paraId="41DBD060" w14:textId="77777777" w:rsidR="00677102" w:rsidRPr="00776FA5" w:rsidRDefault="00677102" w:rsidP="00F4396E">
            <w:pPr>
              <w:pStyle w:val="NoSpacing"/>
            </w:pPr>
            <w:r w:rsidRPr="00776FA5">
              <w:t>— Heartburn</w:t>
            </w:r>
          </w:p>
          <w:p w14:paraId="28D5B94F" w14:textId="77777777" w:rsidR="00677102" w:rsidRPr="00776FA5" w:rsidRDefault="00677102" w:rsidP="00F4396E">
            <w:pPr>
              <w:pStyle w:val="NoSpacing"/>
            </w:pPr>
            <w:r w:rsidRPr="00776FA5">
              <w:t>— Nausea or vomiting</w:t>
            </w:r>
          </w:p>
          <w:p w14:paraId="2A32DBA6" w14:textId="77777777" w:rsidR="00677102" w:rsidRPr="00776FA5" w:rsidRDefault="00677102" w:rsidP="00F4396E">
            <w:pPr>
              <w:pStyle w:val="NoSpacing"/>
            </w:pPr>
            <w:r w:rsidRPr="00776FA5">
              <w:t>— Those aged 55 or over who have one or more of the following:</w:t>
            </w:r>
          </w:p>
          <w:p w14:paraId="7C2141DF" w14:textId="77777777" w:rsidR="00677102" w:rsidRPr="00776FA5" w:rsidRDefault="00677102" w:rsidP="00F4396E">
            <w:pPr>
              <w:pStyle w:val="NoSpacing"/>
            </w:pPr>
            <w:r w:rsidRPr="00776FA5">
              <w:t>— Treatment resistant dyspepsia (as above), upper abdominal pain with</w:t>
            </w:r>
            <w:r>
              <w:t xml:space="preserve"> </w:t>
            </w:r>
            <w:r w:rsidRPr="00776FA5">
              <w:t>low haemoglobin level (blood level) OR</w:t>
            </w:r>
          </w:p>
          <w:p w14:paraId="22E90EA9" w14:textId="77777777" w:rsidR="00677102" w:rsidRPr="00776FA5" w:rsidRDefault="00677102" w:rsidP="00F4396E">
            <w:pPr>
              <w:pStyle w:val="NoSpacing"/>
            </w:pPr>
            <w:r w:rsidRPr="00776FA5">
              <w:t>— Raised platelet count with any of the following: nausea, vomiting,</w:t>
            </w:r>
            <w:r>
              <w:t xml:space="preserve"> </w:t>
            </w:r>
            <w:r w:rsidRPr="00776FA5">
              <w:t>weight loss, reflux, dyspepsia, upper abdominal pain OR</w:t>
            </w:r>
          </w:p>
          <w:p w14:paraId="61E42C9A" w14:textId="77777777" w:rsidR="00677102" w:rsidRPr="00776FA5" w:rsidRDefault="00677102" w:rsidP="00F4396E">
            <w:pPr>
              <w:pStyle w:val="NoSpacing"/>
            </w:pPr>
            <w:r w:rsidRPr="00776FA5">
              <w:t>— Nausea and vomiting with any of the following: weight loss, reflux,</w:t>
            </w:r>
            <w:r>
              <w:t xml:space="preserve"> </w:t>
            </w:r>
            <w:r w:rsidRPr="00776FA5">
              <w:t>dyspepsia, upper abdominal pain.</w:t>
            </w:r>
          </w:p>
          <w:p w14:paraId="09900D87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</w:p>
          <w:p w14:paraId="7663B800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For the assessment of Upper GI bleeding:</w:t>
            </w:r>
          </w:p>
          <w:p w14:paraId="6A96CE89" w14:textId="77777777" w:rsidR="00677102" w:rsidRPr="00776FA5" w:rsidRDefault="00677102" w:rsidP="00F4396E">
            <w:pPr>
              <w:pStyle w:val="NoSpacing"/>
            </w:pPr>
            <w:r w:rsidRPr="00776FA5">
              <w:t>— For patients with haematemesis, calculate Glasgow Blatchford Score at</w:t>
            </w:r>
            <w:r>
              <w:t xml:space="preserve"> </w:t>
            </w:r>
            <w:r w:rsidRPr="00776FA5">
              <w:t>presentation and any high-risk patients should be referred</w:t>
            </w:r>
          </w:p>
          <w:p w14:paraId="367E4565" w14:textId="77777777" w:rsidR="00677102" w:rsidRPr="00776FA5" w:rsidRDefault="00677102" w:rsidP="00F4396E">
            <w:pPr>
              <w:pStyle w:val="NoSpacing"/>
            </w:pPr>
            <w:r w:rsidRPr="00776FA5">
              <w:t>— Endoscopy should be performed for unstable patients with severe acute</w:t>
            </w:r>
            <w:r>
              <w:t xml:space="preserve"> </w:t>
            </w:r>
            <w:r w:rsidRPr="00776FA5">
              <w:t>upper gastrointestinal bleeding immediately after resuscitation</w:t>
            </w:r>
          </w:p>
          <w:p w14:paraId="2539158D" w14:textId="77777777" w:rsidR="00677102" w:rsidRPr="00776FA5" w:rsidRDefault="00677102" w:rsidP="00F4396E">
            <w:pPr>
              <w:pStyle w:val="NoSpacing"/>
            </w:pPr>
            <w:r w:rsidRPr="00776FA5">
              <w:t>— Endoscopy should be performed within 24 hours of admission for all other</w:t>
            </w:r>
            <w:r>
              <w:t xml:space="preserve"> </w:t>
            </w:r>
            <w:r w:rsidRPr="00776FA5">
              <w:t>patients with upper gastrointestinal bleeding.</w:t>
            </w:r>
          </w:p>
          <w:p w14:paraId="19FC7E3E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For the investigation of symptoms:</w:t>
            </w:r>
          </w:p>
          <w:p w14:paraId="0683D6F6" w14:textId="77777777" w:rsidR="00677102" w:rsidRPr="00776FA5" w:rsidRDefault="00677102" w:rsidP="00F4396E">
            <w:pPr>
              <w:pStyle w:val="NoSpacing"/>
            </w:pPr>
            <w:r w:rsidRPr="00776FA5">
              <w:t>— Clinicians should consider endoscopy:</w:t>
            </w:r>
          </w:p>
          <w:p w14:paraId="0ADA44F5" w14:textId="77777777" w:rsidR="00677102" w:rsidRPr="00776FA5" w:rsidRDefault="00677102" w:rsidP="00F4396E">
            <w:pPr>
              <w:pStyle w:val="NoSpacing"/>
            </w:pPr>
            <w:r w:rsidRPr="00776FA5">
              <w:t>— Any age with gastro-oesophageal symptoms that are nonresponsive</w:t>
            </w:r>
            <w:r>
              <w:t xml:space="preserve"> </w:t>
            </w:r>
            <w:r w:rsidRPr="00776FA5">
              <w:t>to treatment or unexplained</w:t>
            </w:r>
          </w:p>
          <w:p w14:paraId="72941735" w14:textId="77777777" w:rsidR="00677102" w:rsidRPr="00776FA5" w:rsidRDefault="00677102" w:rsidP="00F4396E">
            <w:pPr>
              <w:pStyle w:val="NoSpacing"/>
            </w:pPr>
            <w:r w:rsidRPr="00776FA5">
              <w:t>— With suspected GORD who are thinking about surgery</w:t>
            </w:r>
          </w:p>
          <w:p w14:paraId="364B52E7" w14:textId="77777777" w:rsidR="00677102" w:rsidRPr="00776FA5" w:rsidRDefault="00677102" w:rsidP="00F4396E">
            <w:pPr>
              <w:pStyle w:val="NoSpacing"/>
            </w:pPr>
            <w:r w:rsidRPr="00776FA5">
              <w:t>— With H pylori that has not responded to second- line eradication</w:t>
            </w:r>
          </w:p>
          <w:p w14:paraId="02B82B22" w14:textId="77777777" w:rsidR="00677102" w:rsidRPr="00776FA5" w:rsidRDefault="00677102" w:rsidP="00F4396E">
            <w:pPr>
              <w:pStyle w:val="NoSpacing"/>
            </w:pPr>
            <w:r w:rsidRPr="00776FA5">
              <w:t>— Eradication can be confirmed with a urea breath test.</w:t>
            </w:r>
          </w:p>
          <w:p w14:paraId="6E5B6834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For management of specific cases</w:t>
            </w:r>
          </w:p>
          <w:p w14:paraId="43B97D37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H pylori and associated peptic ulcer:</w:t>
            </w:r>
          </w:p>
          <w:p w14:paraId="3E058E28" w14:textId="77777777" w:rsidR="00677102" w:rsidRPr="00776FA5" w:rsidRDefault="00677102" w:rsidP="00F4396E">
            <w:pPr>
              <w:pStyle w:val="NoSpacing"/>
            </w:pPr>
            <w:r w:rsidRPr="00776FA5">
              <w:t>— Eradication can be confirmed with a urea breath test, however if peptic</w:t>
            </w:r>
            <w:r>
              <w:t xml:space="preserve"> </w:t>
            </w:r>
            <w:r w:rsidRPr="00776FA5">
              <w:t>ulcer is present repeat endoscopy should be considered 6-8 weeks after</w:t>
            </w:r>
            <w:r>
              <w:t xml:space="preserve"> </w:t>
            </w:r>
            <w:r w:rsidRPr="00776FA5">
              <w:t>beginning treatment for H pylori and the associated peptic ulcer.</w:t>
            </w:r>
          </w:p>
          <w:p w14:paraId="762B72F0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Barrett’s oesphagus:</w:t>
            </w:r>
          </w:p>
          <w:p w14:paraId="7BE55C4B" w14:textId="77777777" w:rsidR="00677102" w:rsidRPr="00776FA5" w:rsidRDefault="00677102" w:rsidP="00F4396E">
            <w:pPr>
              <w:pStyle w:val="NoSpacing"/>
            </w:pPr>
            <w:r w:rsidRPr="00776FA5">
              <w:t>— Where available the non-endoscopic test called Cytosponge can be</w:t>
            </w:r>
            <w:r>
              <w:t xml:space="preserve"> </w:t>
            </w:r>
            <w:r w:rsidRPr="00776FA5">
              <w:t>used to identify those who have developed Barrett’s oesophagus as a</w:t>
            </w:r>
            <w:r>
              <w:t xml:space="preserve"> </w:t>
            </w:r>
            <w:r w:rsidRPr="00776FA5">
              <w:t>complication of long-term reflux and thus require long term surveillance</w:t>
            </w:r>
            <w:r>
              <w:t xml:space="preserve"> </w:t>
            </w:r>
            <w:r w:rsidRPr="00776FA5">
              <w:t>for cancer risk</w:t>
            </w:r>
          </w:p>
          <w:p w14:paraId="291293DF" w14:textId="77777777" w:rsidR="00677102" w:rsidRPr="00776FA5" w:rsidRDefault="00677102" w:rsidP="00F4396E">
            <w:pPr>
              <w:pStyle w:val="NoSpacing"/>
            </w:pPr>
            <w:r w:rsidRPr="00776FA5">
              <w:t>— Consider endoscopy to diagnose Barrett’s Oesophagus if the person has</w:t>
            </w:r>
            <w:r>
              <w:t xml:space="preserve"> </w:t>
            </w:r>
            <w:r w:rsidRPr="00776FA5">
              <w:t xml:space="preserve">GORD (endoscopically determined oesphagitis or endoscopy </w:t>
            </w:r>
            <w:r>
              <w:t>–</w:t>
            </w:r>
            <w:r w:rsidRPr="00776FA5">
              <w:t xml:space="preserve"> negative</w:t>
            </w:r>
            <w:r>
              <w:t xml:space="preserve"> </w:t>
            </w:r>
            <w:r w:rsidRPr="00776FA5">
              <w:t>reflux disease)</w:t>
            </w:r>
          </w:p>
          <w:p w14:paraId="48BF97C5" w14:textId="77777777" w:rsidR="00677102" w:rsidRPr="00776FA5" w:rsidRDefault="00677102" w:rsidP="00F4396E">
            <w:pPr>
              <w:pStyle w:val="NoSpacing"/>
            </w:pPr>
            <w:r w:rsidRPr="00776FA5">
              <w:t>— Consider endoscopy surveillance if person is diagnosed with Barrett’s</w:t>
            </w:r>
            <w:r>
              <w:t xml:space="preserve"> </w:t>
            </w:r>
            <w:r w:rsidRPr="00776FA5">
              <w:t>Oesophagus.</w:t>
            </w:r>
          </w:p>
          <w:p w14:paraId="792E3E86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Coeliac disease:</w:t>
            </w:r>
          </w:p>
          <w:p w14:paraId="7E219256" w14:textId="77777777" w:rsidR="00677102" w:rsidRPr="00776FA5" w:rsidRDefault="00677102" w:rsidP="00F4396E">
            <w:pPr>
              <w:pStyle w:val="NoSpacing"/>
            </w:pPr>
            <w:r w:rsidRPr="00776FA5">
              <w:t>— Patients aged 55 and under with suspected coeliac disease and anti-TTG</w:t>
            </w:r>
            <w:r>
              <w:t xml:space="preserve"> </w:t>
            </w:r>
            <w:r w:rsidRPr="00776FA5">
              <w:t>&gt;10x reference range should be treated</w:t>
            </w:r>
            <w:r>
              <w:t xml:space="preserve"> </w:t>
            </w:r>
            <w:r w:rsidRPr="00776FA5">
              <w:t>for coeliac disease on the basis</w:t>
            </w:r>
            <w:r>
              <w:t xml:space="preserve"> </w:t>
            </w:r>
            <w:r w:rsidRPr="00776FA5">
              <w:t>of positive serology and without endoscopy or biopsy.</w:t>
            </w:r>
          </w:p>
          <w:p w14:paraId="68F7F097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Surveillance endoscopy:</w:t>
            </w:r>
          </w:p>
          <w:p w14:paraId="0AD5BABC" w14:textId="77777777" w:rsidR="00677102" w:rsidRPr="00776FA5" w:rsidRDefault="00677102" w:rsidP="00F4396E">
            <w:pPr>
              <w:pStyle w:val="NoSpacing"/>
            </w:pPr>
            <w:r w:rsidRPr="00776FA5">
              <w:lastRenderedPageBreak/>
              <w:t>— Surveillance endoscopy should only be offered in patients fit enough</w:t>
            </w:r>
            <w:r>
              <w:t xml:space="preserve"> </w:t>
            </w:r>
            <w:r w:rsidRPr="00776FA5">
              <w:t>for subsequent endoscopic or surgical intervention, should neoplasia</w:t>
            </w:r>
            <w:r>
              <w:t xml:space="preserve"> </w:t>
            </w:r>
            <w:r w:rsidRPr="00776FA5">
              <w:t>be found. Many of this patient group are elderly and/or have significant</w:t>
            </w:r>
            <w:r>
              <w:t xml:space="preserve"> </w:t>
            </w:r>
            <w:r w:rsidRPr="00776FA5">
              <w:t>comorbidities. Senior clinician input is required before embarking on long</w:t>
            </w:r>
            <w:r>
              <w:t xml:space="preserve"> </w:t>
            </w:r>
            <w:r w:rsidRPr="00776FA5">
              <w:t>term endoscopic surveillance</w:t>
            </w:r>
            <w:r>
              <w:t xml:space="preserve"> </w:t>
            </w:r>
            <w:r w:rsidRPr="00776FA5">
              <w:t>36 Academy of Medical Royal Colleges EBI - List 2 Guidance</w:t>
            </w:r>
          </w:p>
          <w:p w14:paraId="446964A9" w14:textId="77777777" w:rsidR="00677102" w:rsidRPr="00776FA5" w:rsidRDefault="00677102" w:rsidP="00F4396E">
            <w:pPr>
              <w:pStyle w:val="NoSpacing"/>
            </w:pPr>
            <w:r w:rsidRPr="00776FA5">
              <w:t>— Patients diagnosed with extensive gastric atrophy (GA) or gastric</w:t>
            </w:r>
            <w:r>
              <w:t xml:space="preserve"> </w:t>
            </w:r>
            <w:r w:rsidRPr="00776FA5">
              <w:t>intestinal metaplasia, (GIM) (defined as</w:t>
            </w:r>
            <w:r>
              <w:t xml:space="preserve"> </w:t>
            </w:r>
            <w:r w:rsidRPr="00776FA5">
              <w:t>affecting the antrum and the</w:t>
            </w:r>
            <w:r>
              <w:t xml:space="preserve"> </w:t>
            </w:r>
            <w:r w:rsidRPr="00776FA5">
              <w:t>body) should have endoscopy surveillance every three years</w:t>
            </w:r>
          </w:p>
          <w:p w14:paraId="1A47813C" w14:textId="77777777" w:rsidR="00677102" w:rsidRPr="00776FA5" w:rsidRDefault="00677102" w:rsidP="00F4396E">
            <w:pPr>
              <w:pStyle w:val="NoSpacing"/>
            </w:pPr>
            <w:r w:rsidRPr="00776FA5">
              <w:t>— Patients diagnosed with GA or GIM just in the antrum with additional risk</w:t>
            </w:r>
            <w:r>
              <w:t xml:space="preserve"> </w:t>
            </w:r>
            <w:r w:rsidRPr="00776FA5">
              <w:t>factors- such as strong family history of gastric cancer of persistent Hpylori infection, should undergo endoscopy every three years.</w:t>
            </w:r>
          </w:p>
          <w:p w14:paraId="4435AC78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Screening endoscopy can be considered in:</w:t>
            </w:r>
          </w:p>
          <w:p w14:paraId="5A2650FB" w14:textId="77777777" w:rsidR="00677102" w:rsidRPr="00776FA5" w:rsidRDefault="00677102" w:rsidP="00F4396E">
            <w:pPr>
              <w:pStyle w:val="NoSpacing"/>
            </w:pPr>
            <w:r w:rsidRPr="00776FA5">
              <w:t>— European guidelines (2015) for patients with genetic risk factors / family</w:t>
            </w:r>
            <w:r>
              <w:t xml:space="preserve"> </w:t>
            </w:r>
            <w:r w:rsidRPr="00776FA5">
              <w:t>history of gastric cancer recommend genetics referral first before</w:t>
            </w:r>
            <w:r>
              <w:t xml:space="preserve"> </w:t>
            </w:r>
            <w:r w:rsidRPr="00776FA5">
              <w:t>embarking on long term screening. Screening is not appropriate for</w:t>
            </w:r>
            <w:r>
              <w:t xml:space="preserve"> </w:t>
            </w:r>
            <w:r w:rsidRPr="00776FA5">
              <w:t>all patients and should be performed in keeping with European expert</w:t>
            </w:r>
            <w:r>
              <w:t xml:space="preserve"> </w:t>
            </w:r>
            <w:r w:rsidRPr="00776FA5">
              <w:t>guidelines</w:t>
            </w:r>
          </w:p>
          <w:p w14:paraId="0AFDA1C7" w14:textId="77777777" w:rsidR="00677102" w:rsidRPr="00776FA5" w:rsidRDefault="00677102" w:rsidP="00F4396E">
            <w:pPr>
              <w:pStyle w:val="NoSpacing"/>
            </w:pPr>
            <w:r w:rsidRPr="00776FA5">
              <w:t>— Patients where screening is appropriate, for individuals aged 50 and over,</w:t>
            </w:r>
            <w:r>
              <w:t xml:space="preserve"> </w:t>
            </w:r>
            <w:r w:rsidRPr="00776FA5">
              <w:t>with multiple risk factors for gastric cancer (e.g. H. Pylori infection, family</w:t>
            </w:r>
            <w:r>
              <w:t xml:space="preserve"> </w:t>
            </w:r>
            <w:r w:rsidRPr="00776FA5">
              <w:t>history of gastric cancer - particularly in first degree relative -, pernicious</w:t>
            </w:r>
          </w:p>
          <w:p w14:paraId="3F33F4AF" w14:textId="77777777" w:rsidR="00677102" w:rsidRPr="00776FA5" w:rsidRDefault="00677102" w:rsidP="00F4396E">
            <w:pPr>
              <w:pStyle w:val="NoSpacing"/>
            </w:pPr>
            <w:r w:rsidRPr="00776FA5">
              <w:t>anaemia, male, smokers).</w:t>
            </w:r>
          </w:p>
          <w:p w14:paraId="473EA98D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Post excision of adenoma:</w:t>
            </w:r>
          </w:p>
          <w:p w14:paraId="4CAF4B54" w14:textId="5D83C46A" w:rsidR="00677102" w:rsidRPr="00776FA5" w:rsidRDefault="00677102" w:rsidP="00677102">
            <w:pPr>
              <w:pStyle w:val="NoSpacing"/>
            </w:pPr>
            <w:r w:rsidRPr="00776FA5">
              <w:t>— Following complete endoscopic excision of adenomas, gastroscopy</w:t>
            </w:r>
            <w:r>
              <w:t xml:space="preserve"> </w:t>
            </w:r>
            <w:r w:rsidRPr="00776FA5">
              <w:t>should be performed at 12 months and then annually thereafter when</w:t>
            </w:r>
            <w:r>
              <w:t xml:space="preserve"> </w:t>
            </w:r>
            <w:r w:rsidRPr="00776FA5">
              <w:t>appropriate.</w:t>
            </w:r>
          </w:p>
        </w:tc>
      </w:tr>
      <w:tr w:rsidR="00677102" w:rsidRPr="00776FA5" w14:paraId="23434099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4E580EF9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Rationale for Recommendation</w:t>
            </w:r>
          </w:p>
        </w:tc>
      </w:tr>
      <w:tr w:rsidR="00677102" w:rsidRPr="00776FA5" w14:paraId="4975EB6A" w14:textId="77777777" w:rsidTr="00677102">
        <w:tc>
          <w:tcPr>
            <w:tcW w:w="11340" w:type="dxa"/>
          </w:tcPr>
          <w:p w14:paraId="6611F4C3" w14:textId="77777777" w:rsidR="00677102" w:rsidRPr="00776FA5" w:rsidRDefault="00677102" w:rsidP="00F4396E">
            <w:pPr>
              <w:pStyle w:val="NoSpacing"/>
            </w:pPr>
            <w:r w:rsidRPr="00776FA5">
              <w:t>NICE and the British Society for Gastroenterology recommend the above</w:t>
            </w:r>
          </w:p>
          <w:p w14:paraId="59E7CC1B" w14:textId="77777777" w:rsidR="00677102" w:rsidRDefault="00677102" w:rsidP="00F4396E">
            <w:pPr>
              <w:pStyle w:val="NoSpacing"/>
            </w:pPr>
            <w:r w:rsidRPr="00776FA5">
              <w:t>criteria for use of endoscopy.</w:t>
            </w:r>
            <w:r>
              <w:t xml:space="preserve"> </w:t>
            </w:r>
            <w:r w:rsidRPr="00776FA5">
              <w:t>Endoscopy is a very invasive procedure for patients and is not always well</w:t>
            </w:r>
            <w:r>
              <w:t xml:space="preserve"> </w:t>
            </w:r>
            <w:r w:rsidRPr="00776FA5">
              <w:t>tolerated. There are numerous risks associated with endoscopy, such as</w:t>
            </w:r>
            <w:r>
              <w:t xml:space="preserve"> </w:t>
            </w:r>
            <w:r w:rsidRPr="00776FA5">
              <w:t>reaction to sedation, bleeding or perforation, the latter of which could lead</w:t>
            </w:r>
            <w:r>
              <w:t xml:space="preserve"> </w:t>
            </w:r>
            <w:r w:rsidRPr="00776FA5">
              <w:t>to an emergency operation if serious enough. This is one of the reasons why</w:t>
            </w:r>
            <w:r>
              <w:t xml:space="preserve"> </w:t>
            </w:r>
            <w:r w:rsidRPr="00776FA5">
              <w:t>endoscopy should not be a first-line of investigation in all patients.</w:t>
            </w:r>
          </w:p>
          <w:p w14:paraId="2C8E1DE6" w14:textId="77777777" w:rsidR="00677102" w:rsidRDefault="00677102" w:rsidP="00F4396E">
            <w:pPr>
              <w:pStyle w:val="NoSpacing"/>
            </w:pPr>
          </w:p>
          <w:p w14:paraId="631DBE38" w14:textId="77777777" w:rsidR="00677102" w:rsidRDefault="00677102" w:rsidP="00F4396E">
            <w:pPr>
              <w:pStyle w:val="NoSpacing"/>
            </w:pPr>
            <w:r w:rsidRPr="00776FA5">
              <w:t>For example, the first-line testing for H Pylori (and therefore associated</w:t>
            </w:r>
            <w:r>
              <w:t xml:space="preserve"> </w:t>
            </w:r>
            <w:r w:rsidRPr="00776FA5">
              <w:t>dyspepsia) should be Urea breathe test or stool antigen test. This test is</w:t>
            </w:r>
            <w:r>
              <w:t xml:space="preserve"> </w:t>
            </w:r>
            <w:r w:rsidRPr="00776FA5">
              <w:t>much less invasive for the patient.</w:t>
            </w:r>
            <w:r>
              <w:t xml:space="preserve"> </w:t>
            </w:r>
            <w:r w:rsidRPr="00776FA5">
              <w:t>In regard to the efficiency of services and value for money, endoscopy when</w:t>
            </w:r>
            <w:r>
              <w:t xml:space="preserve"> </w:t>
            </w:r>
            <w:r w:rsidRPr="00776FA5">
              <w:t xml:space="preserve">used appropriately is of value. </w:t>
            </w:r>
          </w:p>
          <w:p w14:paraId="071756FE" w14:textId="77777777" w:rsidR="00677102" w:rsidRDefault="00677102" w:rsidP="00F4396E">
            <w:pPr>
              <w:pStyle w:val="NoSpacing"/>
            </w:pPr>
          </w:p>
          <w:p w14:paraId="7D8A9B54" w14:textId="23130567" w:rsidR="00677102" w:rsidRPr="00776FA5" w:rsidRDefault="00677102" w:rsidP="00677102">
            <w:pPr>
              <w:pStyle w:val="NoSpacing"/>
            </w:pPr>
            <w:r w:rsidRPr="00776FA5">
              <w:t>However, a literature review and meta-analysis</w:t>
            </w:r>
            <w:r>
              <w:t xml:space="preserve"> </w:t>
            </w:r>
            <w:r w:rsidRPr="00776FA5">
              <w:t>have shown diagnostic overuse with significant resource implications. Of</w:t>
            </w:r>
            <w:r>
              <w:t xml:space="preserve"> </w:t>
            </w:r>
            <w:r w:rsidRPr="00776FA5">
              <w:t>the meta-analyses results it found that 22% of OGDs were inappropriate</w:t>
            </w:r>
            <w:r>
              <w:t xml:space="preserve"> </w:t>
            </w:r>
            <w:r w:rsidRPr="00776FA5">
              <w:t>indications. The aim of this rationale is not only to improve value, whilst still</w:t>
            </w:r>
            <w:r>
              <w:t xml:space="preserve"> </w:t>
            </w:r>
            <w:r w:rsidRPr="00776FA5">
              <w:t>achieving high care for patients, and not submitting patients to unnecessary</w:t>
            </w:r>
            <w:r>
              <w:t xml:space="preserve"> </w:t>
            </w:r>
            <w:r w:rsidRPr="00776FA5">
              <w:t>invasive endoscopies that can hold serious complications.</w:t>
            </w:r>
          </w:p>
        </w:tc>
      </w:tr>
      <w:tr w:rsidR="00677102" w:rsidRPr="00776FA5" w14:paraId="473111E7" w14:textId="77777777" w:rsidTr="00677102">
        <w:tc>
          <w:tcPr>
            <w:tcW w:w="11340" w:type="dxa"/>
            <w:shd w:val="clear" w:color="auto" w:fill="8EAADB" w:themeFill="accent1" w:themeFillTint="99"/>
          </w:tcPr>
          <w:p w14:paraId="4BD50BC3" w14:textId="77777777" w:rsidR="00677102" w:rsidRPr="00776FA5" w:rsidRDefault="00677102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677102" w:rsidRPr="00776FA5" w14:paraId="1A5DC9EE" w14:textId="77777777" w:rsidTr="00677102">
        <w:trPr>
          <w:trHeight w:val="50"/>
        </w:trPr>
        <w:tc>
          <w:tcPr>
            <w:tcW w:w="11340" w:type="dxa"/>
          </w:tcPr>
          <w:p w14:paraId="4088B17F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1. NHS Advice: https://www.nhs.uk/conditions/Endoscopy/.</w:t>
            </w:r>
          </w:p>
          <w:p w14:paraId="570E2229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2. NICE Guidance: https://www.nice.org.uk/guidance/ng12.</w:t>
            </w:r>
          </w:p>
          <w:p w14:paraId="5441749B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3. British Society of Gastroenterology guidelines: https://gut.bmj.com/content/68/9/1545.</w:t>
            </w:r>
          </w:p>
          <w:p w14:paraId="6E2345DB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4. BSG Interim Guidance: COVID-19 specific non-biopsy protocol for those with suspected coeliac disease: https://www.bsg.org.uk/covid-19-advice/covid-19-specific-non-biopsy-protocol-guidance-for-those-with-suspectedcoeliac-disease/.</w:t>
            </w:r>
          </w:p>
          <w:p w14:paraId="5A3BE3CF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5. British Society of Gastroenterology-led multi-society consensus care bundle for the early clinical management of acute upper gastrointestinal bleeding: https://www.bsg.org.uk/wp-content/uploads/2019/11/</w:t>
            </w:r>
          </w:p>
          <w:p w14:paraId="469F62C7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flgastro-2019-101395.pdf.</w:t>
            </w:r>
          </w:p>
          <w:p w14:paraId="6B9D3951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6. NHS Advice: https://www.nhs.uk/conditions/gastroscopy/risks/.</w:t>
            </w:r>
          </w:p>
          <w:p w14:paraId="09ACCE24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7. Malik HT, Marti J, Darzi A, Mossialos E. Savings from reducing low-value general surgical interventions. Br J Surg. 2018 Jan;105(1):13-25. doi:10.1002/ bjs.10719.</w:t>
            </w:r>
          </w:p>
          <w:p w14:paraId="456CFC57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8. Di Giulio E, Hassan C, Marmo R, Zullo A, Annibale.</w:t>
            </w:r>
          </w:p>
          <w:p w14:paraId="01197777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9. B. Appropriateness of the indication for upper endoscopy: a metaanalysis. Dig Liver Dis 2010; 42: 122 – 126.</w:t>
            </w:r>
          </w:p>
          <w:p w14:paraId="4908CC3F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10. NICE guidance: Gastro-oesophageal reflux disease and dyspepsia in adults: investigation and management. September 2014. CG184.</w:t>
            </w:r>
          </w:p>
          <w:p w14:paraId="719079AE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11. NICE guidance: Acute upper gastrointestinal bleeding in over 16s management. June 2012. CG141.</w:t>
            </w:r>
          </w:p>
          <w:p w14:paraId="4E9909FC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12. Van der Post RS et al. J Med Genet. 2015 Jun; 52(6): 361–374. Published online 2015 May 15. doi: 10.1136/jmedgenet-2015-103094.</w:t>
            </w:r>
          </w:p>
          <w:p w14:paraId="6020F976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13. BSG Guidance on recommending GI endoscopy. https://www.bsg.org.uk/covid-19-advice/bsg-guidance-on-recommencing-gi-endoscopy-in-thedeceleration-early-recovery-phases-of-the-covid-19-pandemic/.</w:t>
            </w:r>
          </w:p>
          <w:p w14:paraId="6C0F19CD" w14:textId="77777777" w:rsidR="00677102" w:rsidRPr="00B42D71" w:rsidRDefault="00677102" w:rsidP="00F4396E">
            <w:pPr>
              <w:pStyle w:val="NoSpacing"/>
              <w:rPr>
                <w:sz w:val="20"/>
                <w:szCs w:val="20"/>
              </w:rPr>
            </w:pPr>
            <w:r w:rsidRPr="00B42D71">
              <w:rPr>
                <w:sz w:val="20"/>
                <w:szCs w:val="20"/>
              </w:rPr>
              <w:t>14. https://www.thelancet.com/journals/lancet/article/PIIS0140-6736(20)31099-0/fulltext.</w:t>
            </w:r>
          </w:p>
        </w:tc>
      </w:tr>
    </w:tbl>
    <w:p w14:paraId="5B744933" w14:textId="77777777" w:rsidR="008570E8" w:rsidRDefault="008570E8" w:rsidP="00677102"/>
    <w:sectPr w:rsidR="008570E8" w:rsidSect="00530640">
      <w:headerReference w:type="default" r:id="rId7"/>
      <w:footerReference w:type="default" r:id="rId8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519E3"/>
    <w:rsid w:val="003F2868"/>
    <w:rsid w:val="004B43D1"/>
    <w:rsid w:val="004D1171"/>
    <w:rsid w:val="00530640"/>
    <w:rsid w:val="00554FE4"/>
    <w:rsid w:val="00617F55"/>
    <w:rsid w:val="00677102"/>
    <w:rsid w:val="00726489"/>
    <w:rsid w:val="007F212E"/>
    <w:rsid w:val="0080506D"/>
    <w:rsid w:val="0084628B"/>
    <w:rsid w:val="008570E8"/>
    <w:rsid w:val="008856AE"/>
    <w:rsid w:val="00892FBA"/>
    <w:rsid w:val="00A42552"/>
    <w:rsid w:val="00B12A9C"/>
    <w:rsid w:val="00B432F9"/>
    <w:rsid w:val="00B71178"/>
    <w:rsid w:val="00C573AD"/>
    <w:rsid w:val="00C65E16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2021-11-01T14:56:00Z</dcterms:created>
  <dcterms:modified xsi:type="dcterms:W3CDTF">2021-11-01T14:56:00Z</dcterms:modified>
</cp:coreProperties>
</file>