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038"/>
      </w:tblGrid>
      <w:tr w:rsidR="00155C6B" w:rsidRPr="00776FA5" w14:paraId="46ADB6B6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475FF102" w14:textId="77777777" w:rsidR="00155C6B" w:rsidRPr="00776FA5" w:rsidRDefault="00155C6B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525055">
              <w:rPr>
                <w:b/>
                <w:bCs/>
                <w:sz w:val="24"/>
                <w:szCs w:val="24"/>
              </w:rPr>
              <w:t>2AA — Pre-operative chest x-ray</w:t>
            </w:r>
          </w:p>
        </w:tc>
      </w:tr>
      <w:tr w:rsidR="00155C6B" w:rsidRPr="00776FA5" w14:paraId="7784F620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11474DEB" w14:textId="77777777" w:rsidR="00155C6B" w:rsidRPr="00776FA5" w:rsidRDefault="00155C6B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155C6B" w:rsidRPr="00776FA5" w14:paraId="1A64680F" w14:textId="77777777" w:rsidTr="00F4396E">
        <w:tc>
          <w:tcPr>
            <w:tcW w:w="10627" w:type="dxa"/>
          </w:tcPr>
          <w:p w14:paraId="42E32DF3" w14:textId="77777777" w:rsidR="00155C6B" w:rsidRPr="00776FA5" w:rsidRDefault="00155C6B" w:rsidP="00F4396E">
            <w:pPr>
              <w:pStyle w:val="NoSpacing"/>
            </w:pPr>
            <w:r w:rsidRPr="00776FA5">
              <w:t>Chest radiographs in the pre-operative assessment of adult, elective surgical</w:t>
            </w:r>
            <w:r>
              <w:t xml:space="preserve"> </w:t>
            </w:r>
            <w:r w:rsidRPr="00776FA5">
              <w:t>patients prior to routine surgery is not recommended.</w:t>
            </w:r>
          </w:p>
          <w:p w14:paraId="206694BA" w14:textId="77777777" w:rsidR="00155C6B" w:rsidRPr="00525055" w:rsidRDefault="00155C6B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</w:tc>
      </w:tr>
      <w:tr w:rsidR="00155C6B" w:rsidRPr="00776FA5" w14:paraId="1944A67B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18F8BBAD" w14:textId="77777777" w:rsidR="00155C6B" w:rsidRPr="00776FA5" w:rsidRDefault="00155C6B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155C6B" w:rsidRPr="00776FA5" w14:paraId="73642C41" w14:textId="77777777" w:rsidTr="00F4396E">
        <w:tc>
          <w:tcPr>
            <w:tcW w:w="10627" w:type="dxa"/>
            <w:shd w:val="clear" w:color="auto" w:fill="FFFFFF" w:themeFill="background1"/>
          </w:tcPr>
          <w:p w14:paraId="79B36CDC" w14:textId="77777777" w:rsidR="00155C6B" w:rsidRPr="00525055" w:rsidRDefault="00155C6B" w:rsidP="00F4396E">
            <w:pPr>
              <w:pStyle w:val="NoSpacing"/>
            </w:pPr>
            <w:r w:rsidRPr="00776FA5">
              <w:t>Data are not currently available</w:t>
            </w:r>
          </w:p>
        </w:tc>
      </w:tr>
      <w:tr w:rsidR="00155C6B" w:rsidRPr="00776FA5" w14:paraId="33016B4C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6502AF06" w14:textId="77777777" w:rsidR="00155C6B" w:rsidRPr="00776FA5" w:rsidRDefault="00155C6B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155C6B" w:rsidRPr="00776FA5" w14:paraId="04F0BD08" w14:textId="77777777" w:rsidTr="00F4396E">
        <w:tc>
          <w:tcPr>
            <w:tcW w:w="10627" w:type="dxa"/>
          </w:tcPr>
          <w:p w14:paraId="587E0E96" w14:textId="77777777" w:rsidR="00155C6B" w:rsidRPr="00776FA5" w:rsidRDefault="00155C6B" w:rsidP="00F4396E">
            <w:pPr>
              <w:pStyle w:val="NoSpacing"/>
            </w:pPr>
            <w:r w:rsidRPr="00776FA5">
              <w:t>Pre-operative chest radiographs should not be routinely performed in adult</w:t>
            </w:r>
            <w:r>
              <w:t xml:space="preserve"> </w:t>
            </w:r>
            <w:r w:rsidRPr="00776FA5">
              <w:t>elective surgical patients. However,</w:t>
            </w:r>
            <w:r>
              <w:t xml:space="preserve"> </w:t>
            </w:r>
            <w:r w:rsidRPr="00776FA5">
              <w:t>they may be appropriate in specific</w:t>
            </w:r>
            <w:r>
              <w:t xml:space="preserve"> </w:t>
            </w:r>
            <w:r w:rsidRPr="00776FA5">
              <w:t>cohorts of patients, including when the following criteria apply:</w:t>
            </w:r>
          </w:p>
          <w:p w14:paraId="7702715F" w14:textId="77777777" w:rsidR="00155C6B" w:rsidRPr="00776FA5" w:rsidRDefault="00155C6B" w:rsidP="00F4396E">
            <w:pPr>
              <w:pStyle w:val="NoSpacing"/>
            </w:pPr>
            <w:r w:rsidRPr="00776FA5">
              <w:t>— Patients undergoing cardiac or thoracic surgery</w:t>
            </w:r>
          </w:p>
          <w:p w14:paraId="33C44465" w14:textId="77777777" w:rsidR="00155C6B" w:rsidRPr="00776FA5" w:rsidRDefault="00155C6B" w:rsidP="00F4396E">
            <w:pPr>
              <w:pStyle w:val="NoSpacing"/>
            </w:pPr>
            <w:r w:rsidRPr="00776FA5">
              <w:t>— Patients undergoing organ transplantation or live organ donation</w:t>
            </w:r>
          </w:p>
          <w:p w14:paraId="0B80AC57" w14:textId="77777777" w:rsidR="00155C6B" w:rsidRPr="00776FA5" w:rsidRDefault="00155C6B" w:rsidP="00F4396E">
            <w:pPr>
              <w:pStyle w:val="NoSpacing"/>
            </w:pPr>
            <w:r w:rsidRPr="00776FA5">
              <w:t>— At the request of the anaesthetist in:</w:t>
            </w:r>
          </w:p>
          <w:p w14:paraId="62602A52" w14:textId="77777777" w:rsidR="00155C6B" w:rsidRPr="00776FA5" w:rsidRDefault="00155C6B" w:rsidP="00F4396E">
            <w:pPr>
              <w:pStyle w:val="NoSpacing"/>
            </w:pPr>
            <w:r w:rsidRPr="00776FA5">
              <w:t>— Those with suspected or established cardio-respiratory disease, who</w:t>
            </w:r>
            <w:r>
              <w:t xml:space="preserve"> </w:t>
            </w:r>
            <w:r w:rsidRPr="00776FA5">
              <w:t>have not had a chest radiograph in the</w:t>
            </w:r>
            <w:r>
              <w:t xml:space="preserve"> </w:t>
            </w:r>
            <w:r w:rsidRPr="00776FA5">
              <w:t>previous 12 months, and who</w:t>
            </w:r>
            <w:r>
              <w:t xml:space="preserve"> </w:t>
            </w:r>
            <w:r w:rsidRPr="00776FA5">
              <w:t>are likely to go to critical care after surgery</w:t>
            </w:r>
          </w:p>
          <w:p w14:paraId="1E4465C8" w14:textId="77777777" w:rsidR="00155C6B" w:rsidRPr="00776FA5" w:rsidRDefault="00155C6B" w:rsidP="00F4396E">
            <w:pPr>
              <w:pStyle w:val="NoSpacing"/>
            </w:pPr>
            <w:r w:rsidRPr="00776FA5">
              <w:t>— Those with a recent history of chest trauma</w:t>
            </w:r>
          </w:p>
          <w:p w14:paraId="410162E7" w14:textId="77777777" w:rsidR="00155C6B" w:rsidRPr="00776FA5" w:rsidRDefault="00155C6B" w:rsidP="00F4396E">
            <w:pPr>
              <w:pStyle w:val="NoSpacing"/>
            </w:pPr>
            <w:r w:rsidRPr="00776FA5">
              <w:t>— Patients with a significant smoking history who have not had a chest</w:t>
            </w:r>
            <w:r>
              <w:t xml:space="preserve"> </w:t>
            </w:r>
            <w:r w:rsidRPr="00776FA5">
              <w:t>radiograph in the previous 12 months, or those with malignancy and</w:t>
            </w:r>
            <w:r>
              <w:t xml:space="preserve"> </w:t>
            </w:r>
            <w:r w:rsidRPr="00776FA5">
              <w:t>possible lung metastases</w:t>
            </w:r>
          </w:p>
          <w:p w14:paraId="6D3C0910" w14:textId="77777777" w:rsidR="00155C6B" w:rsidRPr="00776FA5" w:rsidRDefault="00155C6B" w:rsidP="00F4396E">
            <w:pPr>
              <w:pStyle w:val="NoSpacing"/>
            </w:pPr>
            <w:r w:rsidRPr="00776FA5">
              <w:t>— Those undergoing a major abdominal operation, who are at high risk</w:t>
            </w:r>
            <w:r>
              <w:t xml:space="preserve"> </w:t>
            </w:r>
            <w:r w:rsidRPr="00776FA5">
              <w:t>of respiratory complications.</w:t>
            </w:r>
          </w:p>
          <w:p w14:paraId="3334A027" w14:textId="77777777" w:rsidR="00155C6B" w:rsidRPr="00776FA5" w:rsidRDefault="00155C6B" w:rsidP="00F4396E">
            <w:pPr>
              <w:pStyle w:val="NoSpacing"/>
            </w:pPr>
          </w:p>
        </w:tc>
      </w:tr>
      <w:tr w:rsidR="00155C6B" w:rsidRPr="00776FA5" w14:paraId="1E6F1910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22908C9D" w14:textId="77777777" w:rsidR="00155C6B" w:rsidRPr="00776FA5" w:rsidRDefault="00155C6B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Rationale for Recommendation</w:t>
            </w:r>
          </w:p>
        </w:tc>
      </w:tr>
      <w:tr w:rsidR="00155C6B" w:rsidRPr="00776FA5" w14:paraId="39C7F9F0" w14:textId="77777777" w:rsidTr="00F4396E">
        <w:tc>
          <w:tcPr>
            <w:tcW w:w="10627" w:type="dxa"/>
          </w:tcPr>
          <w:p w14:paraId="27212CDE" w14:textId="77777777" w:rsidR="00155C6B" w:rsidRPr="00776FA5" w:rsidRDefault="00155C6B" w:rsidP="00F4396E">
            <w:pPr>
              <w:pStyle w:val="NoSpacing"/>
            </w:pPr>
            <w:r w:rsidRPr="00776FA5">
              <w:t>In the UK, most patients are seen up to 12 weeks before surgery in</w:t>
            </w:r>
            <w:r>
              <w:t xml:space="preserve"> </w:t>
            </w:r>
            <w:r w:rsidRPr="00776FA5">
              <w:t>preoperative assessment clinics, where a structured history and examination</w:t>
            </w:r>
            <w:r>
              <w:t xml:space="preserve"> </w:t>
            </w:r>
            <w:r w:rsidRPr="00776FA5">
              <w:t>is performed by a nurse. Relevant preoperative investigations may also be</w:t>
            </w:r>
            <w:r>
              <w:t xml:space="preserve"> </w:t>
            </w:r>
            <w:r w:rsidRPr="00776FA5">
              <w:t>taken</w:t>
            </w:r>
            <w:r>
              <w:t xml:space="preserve"> </w:t>
            </w:r>
            <w:r w:rsidRPr="00776FA5">
              <w:t>according to locally developed protocols.</w:t>
            </w:r>
          </w:p>
          <w:p w14:paraId="3EC30103" w14:textId="77777777" w:rsidR="00155C6B" w:rsidRDefault="00155C6B" w:rsidP="00F4396E">
            <w:pPr>
              <w:pStyle w:val="NoSpacing"/>
            </w:pPr>
          </w:p>
          <w:p w14:paraId="5A0AAB0D" w14:textId="77777777" w:rsidR="00155C6B" w:rsidRPr="00776FA5" w:rsidRDefault="00155C6B" w:rsidP="00F4396E">
            <w:pPr>
              <w:pStyle w:val="NoSpacing"/>
            </w:pPr>
            <w:r w:rsidRPr="00776FA5">
              <w:t>Routine preoperative investigations are expensive, labour intensive, and</w:t>
            </w:r>
            <w:r>
              <w:t xml:space="preserve"> </w:t>
            </w:r>
            <w:r w:rsidRPr="00776FA5">
              <w:t>of questionable value. Excessive pre</w:t>
            </w:r>
            <w:r>
              <w:t>-</w:t>
            </w:r>
            <w:r w:rsidRPr="00776FA5">
              <w:t>operative testing may cause anxiety</w:t>
            </w:r>
            <w:r>
              <w:t xml:space="preserve"> </w:t>
            </w:r>
            <w:r w:rsidRPr="00776FA5">
              <w:t>for patients, delays in treatment due to spurious results, and further</w:t>
            </w:r>
            <w:r>
              <w:t xml:space="preserve"> </w:t>
            </w:r>
            <w:r w:rsidRPr="00776FA5">
              <w:t>unnecessary investigation or treatment, without changing outcomes or</w:t>
            </w:r>
            <w:r>
              <w:t xml:space="preserve"> </w:t>
            </w:r>
            <w:r w:rsidRPr="00776FA5">
              <w:t>influencing perioperative management of the patient. In addition, some</w:t>
            </w:r>
            <w:r>
              <w:t xml:space="preserve"> </w:t>
            </w:r>
            <w:r w:rsidRPr="00776FA5">
              <w:t>investigations can be associated with increased patient morbidity, for</w:t>
            </w:r>
            <w:r>
              <w:t xml:space="preserve"> </w:t>
            </w:r>
            <w:r w:rsidRPr="00776FA5">
              <w:t>example the small dose of ionising radiation (0.2mSv) that every patient</w:t>
            </w:r>
            <w:r>
              <w:t xml:space="preserve"> </w:t>
            </w:r>
            <w:r w:rsidRPr="00776FA5">
              <w:t>is subjected to during a chest radiograph. A more structured approach is</w:t>
            </w:r>
            <w:r>
              <w:t xml:space="preserve"> </w:t>
            </w:r>
            <w:r w:rsidRPr="00776FA5">
              <w:t>therefore required.</w:t>
            </w:r>
          </w:p>
          <w:p w14:paraId="6650FF31" w14:textId="77777777" w:rsidR="00155C6B" w:rsidRDefault="00155C6B" w:rsidP="00F4396E">
            <w:pPr>
              <w:pStyle w:val="NoSpacing"/>
            </w:pPr>
          </w:p>
          <w:p w14:paraId="4C5AE31A" w14:textId="77777777" w:rsidR="00155C6B" w:rsidRDefault="00155C6B" w:rsidP="00F4396E">
            <w:pPr>
              <w:pStyle w:val="NoSpacing"/>
            </w:pPr>
            <w:r w:rsidRPr="00776FA5">
              <w:t>In general, patients who are healthy or having relatively non-invasive surgery</w:t>
            </w:r>
            <w:r>
              <w:t xml:space="preserve"> </w:t>
            </w:r>
            <w:r w:rsidRPr="00776FA5">
              <w:t>may require few, if any, pre-operative tests.</w:t>
            </w:r>
            <w:r>
              <w:t xml:space="preserve"> </w:t>
            </w:r>
          </w:p>
          <w:p w14:paraId="55C7304A" w14:textId="77777777" w:rsidR="00155C6B" w:rsidRDefault="00155C6B" w:rsidP="00F4396E">
            <w:pPr>
              <w:pStyle w:val="NoSpacing"/>
            </w:pPr>
          </w:p>
          <w:p w14:paraId="55946A89" w14:textId="77777777" w:rsidR="00155C6B" w:rsidRPr="00776FA5" w:rsidRDefault="00155C6B" w:rsidP="00F4396E">
            <w:pPr>
              <w:pStyle w:val="NoSpacing"/>
            </w:pPr>
            <w:r w:rsidRPr="00776FA5">
              <w:t>In the case of imaging, national guidelines agree that routine use of preoperative</w:t>
            </w:r>
            <w:r>
              <w:t xml:space="preserve"> </w:t>
            </w:r>
            <w:r w:rsidRPr="00776FA5">
              <w:t>chest radiographs is not indicated in adult elective surgical</w:t>
            </w:r>
            <w:r>
              <w:t xml:space="preserve"> </w:t>
            </w:r>
            <w:r w:rsidRPr="00776FA5">
              <w:t>patients, but that it may be appropriate in specific cohorts of patients. NICE</w:t>
            </w:r>
            <w:r>
              <w:t xml:space="preserve"> </w:t>
            </w:r>
            <w:r w:rsidRPr="00776FA5">
              <w:t>recommend</w:t>
            </w:r>
            <w:r>
              <w:t xml:space="preserve"> </w:t>
            </w:r>
            <w:r w:rsidRPr="00776FA5">
              <w:t>that chest radiographs should not be routinely offered before</w:t>
            </w:r>
            <w:r>
              <w:t xml:space="preserve"> </w:t>
            </w:r>
            <w:r w:rsidRPr="00776FA5">
              <w:t>elective surgery.</w:t>
            </w:r>
          </w:p>
        </w:tc>
      </w:tr>
      <w:tr w:rsidR="00155C6B" w:rsidRPr="00776FA5" w14:paraId="022BB1C8" w14:textId="77777777" w:rsidTr="00F4396E">
        <w:tc>
          <w:tcPr>
            <w:tcW w:w="10627" w:type="dxa"/>
            <w:shd w:val="clear" w:color="auto" w:fill="8EAADB" w:themeFill="accent1" w:themeFillTint="99"/>
          </w:tcPr>
          <w:p w14:paraId="47CC42CE" w14:textId="77777777" w:rsidR="00155C6B" w:rsidRPr="00776FA5" w:rsidRDefault="00155C6B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155C6B" w:rsidRPr="00776FA5" w14:paraId="69B491ED" w14:textId="77777777" w:rsidTr="00F4396E">
        <w:tc>
          <w:tcPr>
            <w:tcW w:w="10627" w:type="dxa"/>
          </w:tcPr>
          <w:p w14:paraId="614FEA12" w14:textId="77777777" w:rsidR="00155C6B" w:rsidRPr="00155C6B" w:rsidRDefault="00155C6B" w:rsidP="00F4396E">
            <w:pPr>
              <w:pStyle w:val="NoSpacing"/>
              <w:rPr>
                <w:sz w:val="20"/>
                <w:szCs w:val="20"/>
              </w:rPr>
            </w:pPr>
            <w:r w:rsidRPr="00155C6B">
              <w:rPr>
                <w:sz w:val="20"/>
                <w:szCs w:val="20"/>
              </w:rPr>
              <w:t xml:space="preserve">1. O’Neill F, Carter E, Pink N, Smith I. Routine preoperative tests for elective surgery: summary of updated NICE guidance. BMJ 2016; 354: </w:t>
            </w:r>
            <w:proofErr w:type="spellStart"/>
            <w:r w:rsidRPr="00155C6B">
              <w:rPr>
                <w:sz w:val="20"/>
                <w:szCs w:val="20"/>
              </w:rPr>
              <w:t>doi</w:t>
            </w:r>
            <w:proofErr w:type="spellEnd"/>
            <w:r w:rsidRPr="00155C6B">
              <w:rPr>
                <w:sz w:val="20"/>
                <w:szCs w:val="20"/>
              </w:rPr>
              <w:t>: https://doi.org/10.1136/bmj.i3292.</w:t>
            </w:r>
          </w:p>
          <w:p w14:paraId="51D39905" w14:textId="77777777" w:rsidR="00155C6B" w:rsidRPr="00155C6B" w:rsidRDefault="00155C6B" w:rsidP="00F4396E">
            <w:pPr>
              <w:pStyle w:val="NoSpacing"/>
              <w:rPr>
                <w:sz w:val="20"/>
                <w:szCs w:val="20"/>
              </w:rPr>
            </w:pPr>
            <w:r w:rsidRPr="00155C6B">
              <w:rPr>
                <w:sz w:val="20"/>
                <w:szCs w:val="20"/>
              </w:rPr>
              <w:t>2. NICE Guidelines. Routine preoperative tests for elective surgery. NICE Guidelines (NG45); 2016. https://www.nice.org.uk/guidance/NG45.</w:t>
            </w:r>
          </w:p>
          <w:p w14:paraId="3DA2358D" w14:textId="77777777" w:rsidR="00155C6B" w:rsidRPr="00155C6B" w:rsidRDefault="00155C6B" w:rsidP="00F4396E">
            <w:pPr>
              <w:pStyle w:val="NoSpacing"/>
              <w:rPr>
                <w:sz w:val="20"/>
                <w:szCs w:val="20"/>
              </w:rPr>
            </w:pPr>
            <w:r w:rsidRPr="00155C6B">
              <w:rPr>
                <w:sz w:val="20"/>
                <w:szCs w:val="20"/>
              </w:rPr>
              <w:t xml:space="preserve">3. RCR </w:t>
            </w:r>
            <w:proofErr w:type="spellStart"/>
            <w:r w:rsidRPr="00155C6B">
              <w:rPr>
                <w:sz w:val="20"/>
                <w:szCs w:val="20"/>
              </w:rPr>
              <w:t>iRefer</w:t>
            </w:r>
            <w:proofErr w:type="spellEnd"/>
            <w:r w:rsidRPr="00155C6B">
              <w:rPr>
                <w:sz w:val="20"/>
                <w:szCs w:val="20"/>
              </w:rPr>
              <w:t>: Making the best use of clinical radiology. Eighth edition. 2017. Royal College of Radiologists. http://guidelines.irefer.org.uk/adult/#Tpc90.</w:t>
            </w:r>
          </w:p>
          <w:p w14:paraId="12ED28CF" w14:textId="77777777" w:rsidR="00155C6B" w:rsidRPr="00155C6B" w:rsidRDefault="00155C6B" w:rsidP="00F4396E">
            <w:pPr>
              <w:pStyle w:val="NoSpacing"/>
              <w:rPr>
                <w:sz w:val="20"/>
                <w:szCs w:val="20"/>
              </w:rPr>
            </w:pPr>
            <w:r w:rsidRPr="00155C6B">
              <w:rPr>
                <w:sz w:val="20"/>
                <w:szCs w:val="20"/>
              </w:rPr>
              <w:t>4. Puddy E, Hill C. Interpretation of the chest radiograph. CEACCP 2007; 7: 71-75.</w:t>
            </w:r>
          </w:p>
          <w:p w14:paraId="2F4344B9" w14:textId="77777777" w:rsidR="00155C6B" w:rsidRPr="00155C6B" w:rsidRDefault="00155C6B" w:rsidP="00F4396E">
            <w:pPr>
              <w:pStyle w:val="NoSpacing"/>
              <w:rPr>
                <w:sz w:val="20"/>
                <w:szCs w:val="20"/>
              </w:rPr>
            </w:pPr>
            <w:r w:rsidRPr="00155C6B">
              <w:rPr>
                <w:sz w:val="20"/>
                <w:szCs w:val="20"/>
              </w:rPr>
              <w:t>5. Klein AA, Arrowsmith JE. Should routine preoperative testing be abandoned? Anaesthesia 2010; 65: 974-76.</w:t>
            </w:r>
          </w:p>
          <w:p w14:paraId="42B03789" w14:textId="77777777" w:rsidR="00155C6B" w:rsidRPr="00155C6B" w:rsidRDefault="00155C6B" w:rsidP="00F4396E">
            <w:pPr>
              <w:pStyle w:val="NoSpacing"/>
              <w:rPr>
                <w:sz w:val="20"/>
                <w:szCs w:val="20"/>
              </w:rPr>
            </w:pPr>
            <w:r w:rsidRPr="00155C6B">
              <w:rPr>
                <w:sz w:val="20"/>
                <w:szCs w:val="20"/>
              </w:rPr>
              <w:t>6. Association of Anaesthetists of Great Britain and Ireland. Pre-operative assessment and patient preparation: the role of the anaesthetist 2. AAGBI 2010. www.aagbi.org/sites/default/files/preop2010.pdf.</w:t>
            </w:r>
          </w:p>
          <w:p w14:paraId="7D4F63CC" w14:textId="77777777" w:rsidR="00155C6B" w:rsidRPr="00776FA5" w:rsidRDefault="00155C6B" w:rsidP="00F4396E">
            <w:pPr>
              <w:pStyle w:val="NoSpacing"/>
            </w:pPr>
          </w:p>
        </w:tc>
      </w:tr>
    </w:tbl>
    <w:p w14:paraId="5B744933" w14:textId="77777777" w:rsidR="008570E8" w:rsidRPr="00446D44" w:rsidRDefault="008570E8" w:rsidP="00677102">
      <w:pPr>
        <w:rPr>
          <w:rFonts w:cstheme="minorHAnsi"/>
        </w:rPr>
      </w:pPr>
    </w:p>
    <w:sectPr w:rsidR="008570E8" w:rsidRPr="00446D44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155C6B"/>
    <w:rsid w:val="001E2266"/>
    <w:rsid w:val="002A0ACD"/>
    <w:rsid w:val="002D39E6"/>
    <w:rsid w:val="002E7B33"/>
    <w:rsid w:val="00384B66"/>
    <w:rsid w:val="003F2868"/>
    <w:rsid w:val="003F70AD"/>
    <w:rsid w:val="00446D44"/>
    <w:rsid w:val="0048194F"/>
    <w:rsid w:val="004B43D1"/>
    <w:rsid w:val="004D1171"/>
    <w:rsid w:val="004D141C"/>
    <w:rsid w:val="004F1FC1"/>
    <w:rsid w:val="00530640"/>
    <w:rsid w:val="00554FE4"/>
    <w:rsid w:val="00606332"/>
    <w:rsid w:val="00617F55"/>
    <w:rsid w:val="00677102"/>
    <w:rsid w:val="007037AA"/>
    <w:rsid w:val="00706CF7"/>
    <w:rsid w:val="007113CE"/>
    <w:rsid w:val="00720DC3"/>
    <w:rsid w:val="00726489"/>
    <w:rsid w:val="007474AD"/>
    <w:rsid w:val="00761BF1"/>
    <w:rsid w:val="007C24EB"/>
    <w:rsid w:val="007F212E"/>
    <w:rsid w:val="00802A54"/>
    <w:rsid w:val="0080506D"/>
    <w:rsid w:val="0084628B"/>
    <w:rsid w:val="008570E8"/>
    <w:rsid w:val="008856AE"/>
    <w:rsid w:val="00892FBA"/>
    <w:rsid w:val="008D3093"/>
    <w:rsid w:val="00996999"/>
    <w:rsid w:val="009A60CA"/>
    <w:rsid w:val="009E3D4C"/>
    <w:rsid w:val="00A42552"/>
    <w:rsid w:val="00A632E2"/>
    <w:rsid w:val="00A935D6"/>
    <w:rsid w:val="00B12A9C"/>
    <w:rsid w:val="00B3443C"/>
    <w:rsid w:val="00B432F9"/>
    <w:rsid w:val="00B538EF"/>
    <w:rsid w:val="00B71178"/>
    <w:rsid w:val="00C46A3B"/>
    <w:rsid w:val="00C573AD"/>
    <w:rsid w:val="00C65E16"/>
    <w:rsid w:val="00CA4A90"/>
    <w:rsid w:val="00CA5DE2"/>
    <w:rsid w:val="00DD0AFD"/>
    <w:rsid w:val="00DD5B47"/>
    <w:rsid w:val="00DE5A06"/>
    <w:rsid w:val="00F059BA"/>
    <w:rsid w:val="00F6232D"/>
    <w:rsid w:val="00F66AF0"/>
    <w:rsid w:val="00FE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2021-11-01T14:46:00Z</dcterms:created>
  <dcterms:modified xsi:type="dcterms:W3CDTF">2021-11-01T14:46:00Z</dcterms:modified>
</cp:coreProperties>
</file>