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73" w:rsidRDefault="00360E73" w:rsidP="00360E73">
      <w:pPr>
        <w:ind w:left="7200" w:firstLine="720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A6F3359" wp14:editId="7711D4FD">
            <wp:extent cx="1609725" cy="390525"/>
            <wp:effectExtent l="0" t="0" r="9525" b="9525"/>
            <wp:docPr id="1" name="Picture 1" descr="frimley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mley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792" w:rsidRPr="00360E73" w:rsidRDefault="006F487B">
      <w:pPr>
        <w:rPr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22BEB5" wp14:editId="50FB1373">
                <wp:simplePos x="0" y="0"/>
                <wp:positionH relativeFrom="column">
                  <wp:posOffset>-1270</wp:posOffset>
                </wp:positionH>
                <wp:positionV relativeFrom="paragraph">
                  <wp:posOffset>313690</wp:posOffset>
                </wp:positionV>
                <wp:extent cx="609600" cy="238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>
                            <w: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pt;margin-top:24.7pt;width:48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" filled="f" stroked="f">
                <v:textbox>
                  <w:txbxContent>
                    <w:p w:rsidR="005B1D6C" w:rsidRDefault="005B1D6C">
                      <w: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  <w:r w:rsidR="00C77792">
        <w:rPr>
          <w:b/>
          <w:u w:val="single"/>
        </w:rPr>
        <w:t xml:space="preserve">Clinical Guideline: </w:t>
      </w:r>
      <w:r>
        <w:rPr>
          <w:u w:val="single"/>
        </w:rPr>
        <w:t>Shoulder Impingement Syndrome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0E73">
        <w:rPr>
          <w:u w:val="single"/>
        </w:rPr>
        <w:t>Site:</w:t>
      </w:r>
      <w:r>
        <w:rPr>
          <w:u w:val="single"/>
        </w:rPr>
        <w:t xml:space="preserve"> FPH</w:t>
      </w:r>
    </w:p>
    <w:p w:rsidR="00045964" w:rsidRDefault="005B1D6C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BFFA9" wp14:editId="1DEBAB99">
                <wp:simplePos x="0" y="0"/>
                <wp:positionH relativeFrom="column">
                  <wp:posOffset>-76200</wp:posOffset>
                </wp:positionH>
                <wp:positionV relativeFrom="paragraph">
                  <wp:posOffset>285750</wp:posOffset>
                </wp:positionV>
                <wp:extent cx="6800850" cy="1476375"/>
                <wp:effectExtent l="0" t="0" r="0" b="9525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47637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487B" w:rsidRPr="006F487B" w:rsidRDefault="006F487B" w:rsidP="006F487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gramStart"/>
                            <w:r w:rsidRPr="006F487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Common condition involving inflammation, wear and degeneration of the rotator cuff (supraspinatus tendon) within the sub-acromial space.</w:t>
                            </w:r>
                            <w:proofErr w:type="gramEnd"/>
                          </w:p>
                          <w:p w:rsidR="006F487B" w:rsidRPr="006F487B" w:rsidRDefault="006F487B" w:rsidP="006F487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F487B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Wide spectrum of severity: </w:t>
                            </w:r>
                          </w:p>
                          <w:p w:rsidR="006F487B" w:rsidRPr="006F487B" w:rsidRDefault="006F487B" w:rsidP="006F487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F487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Acute impingement and temporary restriction of activity (younger </w:t>
                            </w:r>
                            <w:proofErr w:type="spellStart"/>
                            <w:r w:rsidRPr="006F487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pts</w:t>
                            </w:r>
                            <w:proofErr w:type="spellEnd"/>
                            <w:r w:rsidRPr="006F487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)</w:t>
                            </w:r>
                          </w:p>
                          <w:p w:rsidR="006F487B" w:rsidRPr="006F487B" w:rsidRDefault="006F487B" w:rsidP="006F487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F487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Chronic degeneration and eventual cuff tear (with increasing age)</w:t>
                            </w:r>
                          </w:p>
                          <w:p w:rsidR="006F487B" w:rsidRPr="006F487B" w:rsidRDefault="006F487B" w:rsidP="006F487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spellStart"/>
                            <w:r w:rsidRPr="006F487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Arthropathy</w:t>
                            </w:r>
                            <w:proofErr w:type="spellEnd"/>
                            <w:r w:rsidRPr="006F487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with significant disability</w:t>
                            </w:r>
                          </w:p>
                          <w:p w:rsidR="006F487B" w:rsidRPr="006F487B" w:rsidRDefault="006F487B" w:rsidP="006F487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F487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Often associated with </w:t>
                            </w:r>
                            <w:proofErr w:type="spellStart"/>
                            <w:r w:rsidRPr="006F487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Acromioclavicualr</w:t>
                            </w:r>
                            <w:proofErr w:type="spellEnd"/>
                            <w:r w:rsidRPr="006F487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(AC) joint and/or long-head of biceps tendon pathology</w:t>
                            </w:r>
                          </w:p>
                          <w:p w:rsidR="006F487B" w:rsidRPr="006F487B" w:rsidRDefault="006F487B" w:rsidP="006F487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F487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May also occur as a secondary feature to frozen shoulder</w:t>
                            </w:r>
                          </w:p>
                          <w:p w:rsidR="005B1D6C" w:rsidRP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7" type="#_x0000_t176" style="position:absolute;margin-left:-6pt;margin-top:22.5pt;width:535.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" fillcolor="#c6d9f1 [671]" stroked="f" strokeweight="2pt">
                <v:textbox>
                  <w:txbxContent>
                    <w:p w:rsidR="006F487B" w:rsidRPr="006F487B" w:rsidRDefault="006F487B" w:rsidP="006F487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gramStart"/>
                      <w:r w:rsidRPr="006F487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Common condition involving inflammation, wear and degeneration of the rotator cuff (supraspinatus tendon) within the sub-acromial space.</w:t>
                      </w:r>
                      <w:proofErr w:type="gramEnd"/>
                    </w:p>
                    <w:p w:rsidR="006F487B" w:rsidRPr="006F487B" w:rsidRDefault="006F487B" w:rsidP="006F487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F487B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Wide spectrum of severity: </w:t>
                      </w:r>
                    </w:p>
                    <w:p w:rsidR="006F487B" w:rsidRPr="006F487B" w:rsidRDefault="006F487B" w:rsidP="006F487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F487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Acute impingement and temporary restriction of activity (younger </w:t>
                      </w:r>
                      <w:proofErr w:type="spellStart"/>
                      <w:r w:rsidRPr="006F487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pts</w:t>
                      </w:r>
                      <w:proofErr w:type="spellEnd"/>
                      <w:r w:rsidRPr="006F487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)</w:t>
                      </w:r>
                    </w:p>
                    <w:p w:rsidR="006F487B" w:rsidRPr="006F487B" w:rsidRDefault="006F487B" w:rsidP="006F487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F487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Chronic degeneration and eventual cuff tear (with increasing age)</w:t>
                      </w:r>
                    </w:p>
                    <w:p w:rsidR="006F487B" w:rsidRPr="006F487B" w:rsidRDefault="006F487B" w:rsidP="006F487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spellStart"/>
                      <w:r w:rsidRPr="006F487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Arthropathy</w:t>
                      </w:r>
                      <w:proofErr w:type="spellEnd"/>
                      <w:r w:rsidRPr="006F487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with significant disability</w:t>
                      </w:r>
                    </w:p>
                    <w:p w:rsidR="006F487B" w:rsidRPr="006F487B" w:rsidRDefault="006F487B" w:rsidP="006F487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F487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Often associated with </w:t>
                      </w:r>
                      <w:proofErr w:type="spellStart"/>
                      <w:r w:rsidRPr="006F487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Acromioclavicualr</w:t>
                      </w:r>
                      <w:proofErr w:type="spellEnd"/>
                      <w:r w:rsidRPr="006F487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(AC) joint and/or long-head of biceps tendon pathology</w:t>
                      </w:r>
                    </w:p>
                    <w:p w:rsidR="006F487B" w:rsidRPr="006F487B" w:rsidRDefault="006F487B" w:rsidP="006F487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F487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May also occur as a secondary feature to frozen shoulder</w:t>
                      </w:r>
                    </w:p>
                    <w:p w:rsidR="005B1D6C" w:rsidRP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45964" w:rsidRPr="00C77792" w:rsidRDefault="00045964">
      <w:pPr>
        <w:rPr>
          <w:b/>
          <w:u w:val="single"/>
        </w:rPr>
      </w:pPr>
    </w:p>
    <w:p w:rsidR="00C77792" w:rsidRDefault="00C77792"/>
    <w:p w:rsidR="00D07B51" w:rsidRDefault="00D07B51"/>
    <w:p w:rsidR="00C77792" w:rsidRDefault="00C77792"/>
    <w:p w:rsidR="006F487B" w:rsidRDefault="006F487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97B1A6" wp14:editId="2A870CB1">
                <wp:simplePos x="0" y="0"/>
                <wp:positionH relativeFrom="column">
                  <wp:posOffset>-38735</wp:posOffset>
                </wp:positionH>
                <wp:positionV relativeFrom="paragraph">
                  <wp:posOffset>206375</wp:posOffset>
                </wp:positionV>
                <wp:extent cx="1019175" cy="2381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Examination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.05pt;margin-top:16.25pt;width:80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" filled="f" stroked="f">
                <v:textbox>
                  <w:txbxContent>
                    <w:p w:rsidR="005B1D6C" w:rsidRDefault="005B1D6C" w:rsidP="00773B39">
                      <w:r>
                        <w:t>Examination</w:t>
                      </w:r>
                    </w:p>
                  </w:txbxContent>
                </v:textbox>
              </v:shape>
            </w:pict>
          </mc:Fallback>
        </mc:AlternateContent>
      </w:r>
    </w:p>
    <w:p w:rsidR="006F487B" w:rsidRDefault="006F487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2DFF02" wp14:editId="159CAFF1">
                <wp:simplePos x="0" y="0"/>
                <wp:positionH relativeFrom="column">
                  <wp:posOffset>-76200</wp:posOffset>
                </wp:positionH>
                <wp:positionV relativeFrom="paragraph">
                  <wp:posOffset>179070</wp:posOffset>
                </wp:positionV>
                <wp:extent cx="6800850" cy="790575"/>
                <wp:effectExtent l="0" t="0" r="0" b="9525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790575"/>
                        </a:xfrm>
                        <a:prstGeom prst="flowChartAlternateProcess">
                          <a:avLst/>
                        </a:prstGeom>
                        <a:solidFill>
                          <a:srgbClr val="F1F3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487B" w:rsidRPr="006F487B" w:rsidRDefault="006F487B" w:rsidP="006F487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F487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Confirm diagnosis and any associated pathology.</w:t>
                            </w:r>
                          </w:p>
                          <w:p w:rsidR="006F487B" w:rsidRPr="006F487B" w:rsidRDefault="006F487B" w:rsidP="006F487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F487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Exclude neck as source of symptoms.</w:t>
                            </w:r>
                          </w:p>
                          <w:p w:rsidR="006F487B" w:rsidRPr="006F487B" w:rsidRDefault="006F487B" w:rsidP="006F487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F487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Younger patients (30+) usually acute onset and relate to injury or over-exertion.</w:t>
                            </w:r>
                          </w:p>
                          <w:p w:rsidR="006F487B" w:rsidRPr="006F487B" w:rsidRDefault="006F487B" w:rsidP="006F487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F487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Older patients (50+) typically more chronic duration with acute exacerbation suggesting cuff tear.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29" type="#_x0000_t176" style="position:absolute;margin-left:-6pt;margin-top:14.1pt;width:535.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" fillcolor="#f1f3b3" stroked="f" strokeweight="2pt">
                <v:textbox>
                  <w:txbxContent>
                    <w:p w:rsidR="006F487B" w:rsidRPr="006F487B" w:rsidRDefault="006F487B" w:rsidP="006F487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F487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Confirm diagnosis and any associated pathology.</w:t>
                      </w:r>
                    </w:p>
                    <w:p w:rsidR="006F487B" w:rsidRPr="006F487B" w:rsidRDefault="006F487B" w:rsidP="006F487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F487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Exclude neck as source of symptoms.</w:t>
                      </w:r>
                    </w:p>
                    <w:p w:rsidR="006F487B" w:rsidRPr="006F487B" w:rsidRDefault="006F487B" w:rsidP="006F487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F487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Younger patients (30+) usually acute onset and relate to injury or over-exertion.</w:t>
                      </w:r>
                    </w:p>
                    <w:p w:rsidR="006F487B" w:rsidRPr="006F487B" w:rsidRDefault="006F487B" w:rsidP="006F487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F487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Older patients (50+) typically more chronic duration with acute exacerbation suggesting cuff tear.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F487B" w:rsidRDefault="006F487B"/>
    <w:p w:rsidR="006F487B" w:rsidRDefault="006F487B"/>
    <w:p w:rsidR="006F487B" w:rsidRDefault="006F487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63B116" wp14:editId="018D7F46">
                <wp:simplePos x="0" y="0"/>
                <wp:positionH relativeFrom="column">
                  <wp:posOffset>-28575</wp:posOffset>
                </wp:positionH>
                <wp:positionV relativeFrom="paragraph">
                  <wp:posOffset>48260</wp:posOffset>
                </wp:positionV>
                <wp:extent cx="1019175" cy="2952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.25pt;margin-top:3.8pt;width:80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" filled="f" stroked="f">
                <v:textbox>
                  <w:txbxContent>
                    <w:p w:rsidR="005B1D6C" w:rsidRDefault="005B1D6C" w:rsidP="00773B39">
                      <w: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</w:p>
    <w:p w:rsidR="006F487B" w:rsidRDefault="006F487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2CEC5A" wp14:editId="64741F45">
                <wp:simplePos x="0" y="0"/>
                <wp:positionH relativeFrom="column">
                  <wp:posOffset>-76200</wp:posOffset>
                </wp:positionH>
                <wp:positionV relativeFrom="paragraph">
                  <wp:posOffset>20320</wp:posOffset>
                </wp:positionV>
                <wp:extent cx="6800850" cy="352425"/>
                <wp:effectExtent l="0" t="0" r="0" b="9525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52425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487B" w:rsidRPr="006F487B" w:rsidRDefault="006F487B" w:rsidP="006F487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F487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Consider Shoulder X-ray. </w:t>
                            </w:r>
                            <w:proofErr w:type="gramStart"/>
                            <w:r w:rsidRPr="006F487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Exclude fracture (acute injury) or osteoarthritis (</w:t>
                            </w:r>
                            <w:proofErr w:type="spellStart"/>
                            <w:r w:rsidRPr="006F487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gleno</w:t>
                            </w:r>
                            <w:proofErr w:type="spellEnd"/>
                            <w:r w:rsidRPr="006F487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-humeral or AC joint).</w:t>
                            </w:r>
                            <w:proofErr w:type="gramEnd"/>
                          </w:p>
                          <w:p w:rsidR="005B1D6C" w:rsidRPr="006F487B" w:rsidRDefault="005B1D6C" w:rsidP="005B1D6C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31" type="#_x0000_t176" style="position:absolute;margin-left:-6pt;margin-top:1.6pt;width:535.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" fillcolor="#e5dfec [663]" stroked="f" strokeweight="2pt">
                <v:textbox>
                  <w:txbxContent>
                    <w:p w:rsidR="006F487B" w:rsidRPr="006F487B" w:rsidRDefault="006F487B" w:rsidP="006F487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F487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Consider Shoulder X-ray. </w:t>
                      </w:r>
                      <w:proofErr w:type="gramStart"/>
                      <w:r w:rsidRPr="006F487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Exclude fracture (acute injury) or osteoarthritis (</w:t>
                      </w:r>
                      <w:proofErr w:type="spellStart"/>
                      <w:r w:rsidRPr="006F487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gleno</w:t>
                      </w:r>
                      <w:proofErr w:type="spellEnd"/>
                      <w:r w:rsidRPr="006F487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-humeral or AC joint).</w:t>
                      </w:r>
                      <w:proofErr w:type="gramEnd"/>
                    </w:p>
                    <w:p w:rsidR="005B1D6C" w:rsidRPr="006F487B" w:rsidRDefault="005B1D6C" w:rsidP="005B1D6C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487B" w:rsidRDefault="006F487B"/>
    <w:p w:rsidR="006F487B" w:rsidRDefault="006F487B"/>
    <w:p w:rsidR="006F487B" w:rsidRDefault="006F487B"/>
    <w:p w:rsidR="006F487B" w:rsidRDefault="006F487B"/>
    <w:p w:rsidR="006F487B" w:rsidRDefault="006F487B"/>
    <w:p w:rsidR="006F487B" w:rsidRDefault="006F487B"/>
    <w:p w:rsidR="006F487B" w:rsidRDefault="006F487B"/>
    <w:p w:rsidR="006F487B" w:rsidRDefault="006F487B"/>
    <w:p w:rsidR="006F487B" w:rsidRDefault="006F487B"/>
    <w:p w:rsidR="006F487B" w:rsidRDefault="006F487B"/>
    <w:p w:rsidR="006F487B" w:rsidRDefault="006F487B"/>
    <w:p w:rsidR="006F487B" w:rsidRDefault="006F487B"/>
    <w:p w:rsidR="006F487B" w:rsidRDefault="006F487B"/>
    <w:p w:rsidR="006F487B" w:rsidRDefault="006F487B"/>
    <w:p w:rsidR="006F487B" w:rsidRDefault="006F487B"/>
    <w:p w:rsidR="006F487B" w:rsidRDefault="006F487B"/>
    <w:p w:rsidR="006F487B" w:rsidRDefault="006F487B"/>
    <w:p w:rsidR="006F487B" w:rsidRDefault="006F487B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24980F" wp14:editId="46EA70FC">
                <wp:simplePos x="0" y="0"/>
                <wp:positionH relativeFrom="column">
                  <wp:posOffset>-200025</wp:posOffset>
                </wp:positionH>
                <wp:positionV relativeFrom="paragraph">
                  <wp:posOffset>3175</wp:posOffset>
                </wp:positionV>
                <wp:extent cx="2695575" cy="2952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Referral Guidelines – red flag signs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5.75pt;margin-top:.25pt;width:212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" filled="f" stroked="f">
                <v:textbox>
                  <w:txbxContent>
                    <w:p w:rsidR="005B1D6C" w:rsidRDefault="005B1D6C" w:rsidP="00773B39">
                      <w:r>
                        <w:t>Referral Guidelines – red flag signs</w:t>
                      </w:r>
                    </w:p>
                  </w:txbxContent>
                </v:textbox>
              </v:shape>
            </w:pict>
          </mc:Fallback>
        </mc:AlternateContent>
      </w:r>
    </w:p>
    <w:p w:rsidR="006F487B" w:rsidRDefault="006F487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2FB829" wp14:editId="2EB8E040">
                <wp:simplePos x="0" y="0"/>
                <wp:positionH relativeFrom="column">
                  <wp:posOffset>-161925</wp:posOffset>
                </wp:positionH>
                <wp:positionV relativeFrom="paragraph">
                  <wp:posOffset>48260</wp:posOffset>
                </wp:positionV>
                <wp:extent cx="6800850" cy="6105525"/>
                <wp:effectExtent l="0" t="0" r="0" b="9525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6105525"/>
                        </a:xfrm>
                        <a:prstGeom prst="flowChartAlternateProcess">
                          <a:avLst/>
                        </a:prstGeom>
                        <a:solidFill>
                          <a:srgbClr val="FFAB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487B" w:rsidRPr="006F487B" w:rsidRDefault="006F487B" w:rsidP="006F487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F487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Failure to respond to conservative measures:</w:t>
                            </w:r>
                          </w:p>
                          <w:p w:rsidR="006F487B" w:rsidRPr="006F487B" w:rsidRDefault="006F487B" w:rsidP="006F487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F487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Pain disturbing sleep and activities of daily living for 3 months.</w:t>
                            </w:r>
                          </w:p>
                          <w:p w:rsidR="006F487B" w:rsidRPr="006F487B" w:rsidRDefault="006F487B" w:rsidP="006F487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F487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Restriction of function persisting &gt;6-9 months.</w:t>
                            </w:r>
                          </w:p>
                          <w:p w:rsidR="006F487B" w:rsidRPr="006F487B" w:rsidRDefault="006F487B" w:rsidP="006F487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F487B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The inability to pursue leisure activity should not be the primary reason for intervention. Pain affecting sleep and immobility are better determinants for referral</w:t>
                            </w:r>
                          </w:p>
                          <w:p w:rsidR="006F487B" w:rsidRPr="006F487B" w:rsidRDefault="006F487B" w:rsidP="006F487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gramStart"/>
                            <w:r w:rsidRPr="006F487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Weakness with suspected cuff tear suitable for surgical repair.</w:t>
                            </w:r>
                            <w:proofErr w:type="gramEnd"/>
                          </w:p>
                          <w:p w:rsidR="006F487B" w:rsidRPr="006F487B" w:rsidRDefault="006F487B" w:rsidP="006F487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gramStart"/>
                            <w:r w:rsidRPr="006F487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Uncertain diagnosis.</w:t>
                            </w:r>
                            <w:proofErr w:type="gramEnd"/>
                          </w:p>
                          <w:p w:rsidR="006F487B" w:rsidRPr="006F487B" w:rsidRDefault="006F487B" w:rsidP="006F487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F487B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Patients unlikely to gain from Specialist Referral </w:t>
                            </w:r>
                          </w:p>
                          <w:p w:rsidR="006F487B" w:rsidRPr="006F487B" w:rsidRDefault="006F487B" w:rsidP="006F487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gramStart"/>
                            <w:r w:rsidRPr="006F487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Mild symptoms / activity restriction not sufficient to warrant surgery.</w:t>
                            </w:r>
                            <w:proofErr w:type="gramEnd"/>
                          </w:p>
                          <w:p w:rsidR="006F487B" w:rsidRPr="006F487B" w:rsidRDefault="006F487B" w:rsidP="006F487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gramStart"/>
                            <w:r w:rsidRPr="006F487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Patient not willing to consider surgical options and activity / work restrictions during rehabilitation.</w:t>
                            </w:r>
                            <w:proofErr w:type="gramEnd"/>
                          </w:p>
                          <w:p w:rsidR="006F487B" w:rsidRPr="006F487B" w:rsidRDefault="006F487B" w:rsidP="006F487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F487B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Thresholds for Elective Surgical Intervention </w:t>
                            </w:r>
                          </w:p>
                          <w:p w:rsidR="006F487B" w:rsidRPr="006F487B" w:rsidRDefault="006F487B" w:rsidP="006F487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F487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Failure of adequate conservative treatment (minimum 3-6 months)</w:t>
                            </w:r>
                          </w:p>
                          <w:p w:rsidR="006F487B" w:rsidRPr="006F487B" w:rsidRDefault="006F487B" w:rsidP="006F487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F487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Significant impact on quality of life</w:t>
                            </w:r>
                          </w:p>
                          <w:p w:rsidR="006F487B" w:rsidRPr="006F487B" w:rsidRDefault="006F487B" w:rsidP="006F487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F487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Disturbance of sleep / self-care</w:t>
                            </w:r>
                          </w:p>
                          <w:p w:rsidR="006F487B" w:rsidRPr="006F487B" w:rsidRDefault="006F487B" w:rsidP="006F487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F487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Impairment of ability to work / care for others</w:t>
                            </w:r>
                          </w:p>
                          <w:p w:rsidR="006F487B" w:rsidRPr="006F487B" w:rsidRDefault="006F487B" w:rsidP="006F487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gramStart"/>
                            <w:r w:rsidRPr="006F487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Willing to accept rehabilitation programme and restricted function during recovery.</w:t>
                            </w:r>
                            <w:proofErr w:type="gramEnd"/>
                          </w:p>
                          <w:p w:rsidR="006F487B" w:rsidRPr="006F487B" w:rsidRDefault="006F487B" w:rsidP="006F487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F487B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What patients can expect from Referral </w:t>
                            </w:r>
                          </w:p>
                          <w:p w:rsidR="006F487B" w:rsidRPr="006F487B" w:rsidRDefault="006F487B" w:rsidP="006F487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F487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Full clinical assessment with further diagnostic imaging if indicated.</w:t>
                            </w:r>
                          </w:p>
                          <w:p w:rsidR="006F487B" w:rsidRPr="006F487B" w:rsidRDefault="006F487B" w:rsidP="006F487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F487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Aim for non-operative treatment where possible through patient education of condition and treatment options, local steroid injections and targeted physiotherapy as indicated.</w:t>
                            </w:r>
                          </w:p>
                          <w:p w:rsidR="006F487B" w:rsidRPr="006F487B" w:rsidRDefault="006F487B" w:rsidP="006F487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F487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Discuss surgical options, explaining admission process, procedure and associated risks as well as expected recovery and rehabilitation programme.</w:t>
                            </w:r>
                          </w:p>
                          <w:p w:rsidR="006F487B" w:rsidRPr="006F487B" w:rsidRDefault="006F487B" w:rsidP="006F487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F487B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Surgical Options </w:t>
                            </w:r>
                          </w:p>
                          <w:p w:rsidR="006F487B" w:rsidRPr="006F487B" w:rsidRDefault="006F487B" w:rsidP="006F487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F487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Shoulder arthroscopic sub-acromial decompression (ASAD +/- </w:t>
                            </w:r>
                            <w:proofErr w:type="spellStart"/>
                            <w:r w:rsidRPr="006F487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acromioplasty</w:t>
                            </w:r>
                            <w:proofErr w:type="spellEnd"/>
                            <w:r w:rsidRPr="006F487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).</w:t>
                            </w:r>
                          </w:p>
                          <w:p w:rsidR="006F487B" w:rsidRPr="006F487B" w:rsidRDefault="006F487B" w:rsidP="006F487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F487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Majority performed as Day-Case (or over-night stay), 2-3 8mm scars.</w:t>
                            </w:r>
                          </w:p>
                          <w:p w:rsidR="006F487B" w:rsidRPr="006F487B" w:rsidRDefault="006F487B" w:rsidP="006F487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gramStart"/>
                            <w:r w:rsidRPr="006F487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Can be combined with excision of the distal clavicle if AC joint involved.</w:t>
                            </w:r>
                            <w:proofErr w:type="gramEnd"/>
                          </w:p>
                          <w:p w:rsidR="006F487B" w:rsidRPr="006F487B" w:rsidRDefault="006F487B" w:rsidP="006F487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F487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Sling for comfort only, early motion encouraged.</w:t>
                            </w:r>
                          </w:p>
                          <w:p w:rsidR="006F487B" w:rsidRPr="006F487B" w:rsidRDefault="006F487B" w:rsidP="006F487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F487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Return to work 2-4 weeks (desk), 4-6 weeks + (physical).</w:t>
                            </w:r>
                          </w:p>
                          <w:p w:rsidR="006F487B" w:rsidRPr="006F487B" w:rsidRDefault="006F487B" w:rsidP="006F487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F487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Return to driving 2-4 weeks (up to 6)</w:t>
                            </w:r>
                          </w:p>
                          <w:p w:rsidR="006F487B" w:rsidRPr="006F487B" w:rsidRDefault="006F487B" w:rsidP="006F487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F487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Some discomfort expected at 6 weeks, majority good at 3-6 months, full resolution of symptoms 9-12 months.</w:t>
                            </w:r>
                          </w:p>
                          <w:p w:rsidR="006F487B" w:rsidRPr="006F487B" w:rsidRDefault="006F487B" w:rsidP="006F487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85% ‘good’</w:t>
                            </w:r>
                            <w:r w:rsidRPr="006F487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result at 12 months (higher if previous good response to steroid injection)</w:t>
                            </w:r>
                          </w:p>
                          <w:p w:rsidR="006F487B" w:rsidRPr="006F487B" w:rsidRDefault="006F487B" w:rsidP="006F487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F487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Main risk is failure to resolve symptoms.</w:t>
                            </w:r>
                          </w:p>
                          <w:p w:rsidR="006F487B" w:rsidRPr="006F487B" w:rsidRDefault="006F487B" w:rsidP="006F487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F487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Patients may be offered other procedures to address associated pathologies (Rotator Cuff repair, Biceps Tendon </w:t>
                            </w:r>
                            <w:proofErr w:type="spellStart"/>
                            <w:r w:rsidRPr="006F487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Tenotomy</w:t>
                            </w:r>
                            <w:proofErr w:type="spellEnd"/>
                            <w:r w:rsidRPr="006F487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, Capsular Release). These may have different implications for the patient which will be discussed with the surgeon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33" type="#_x0000_t176" style="position:absolute;margin-left:-12.75pt;margin-top:3.8pt;width:535.5pt;height:48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" fillcolor="#ffabab" stroked="f" strokeweight="2pt">
                <v:textbox>
                  <w:txbxContent>
                    <w:p w:rsidR="006F487B" w:rsidRPr="006F487B" w:rsidRDefault="006F487B" w:rsidP="006F487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F487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Failure to respond to conservative measures:</w:t>
                      </w:r>
                    </w:p>
                    <w:p w:rsidR="006F487B" w:rsidRPr="006F487B" w:rsidRDefault="006F487B" w:rsidP="006F487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F487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Pain disturbing sleep and activities of daily living for 3 months.</w:t>
                      </w:r>
                    </w:p>
                    <w:p w:rsidR="006F487B" w:rsidRPr="006F487B" w:rsidRDefault="006F487B" w:rsidP="006F487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F487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Restriction of function persisting &gt;6-9 months.</w:t>
                      </w:r>
                    </w:p>
                    <w:p w:rsidR="006F487B" w:rsidRPr="006F487B" w:rsidRDefault="006F487B" w:rsidP="006F487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F487B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The inability to pursue leisure activity should not be the primary reason for intervention. Pain affecting sleep and immobility are better determinants for referral</w:t>
                      </w:r>
                    </w:p>
                    <w:p w:rsidR="006F487B" w:rsidRPr="006F487B" w:rsidRDefault="006F487B" w:rsidP="006F487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gramStart"/>
                      <w:r w:rsidRPr="006F487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Weakness with suspected cuff tear suitable for surgical repair.</w:t>
                      </w:r>
                      <w:proofErr w:type="gramEnd"/>
                    </w:p>
                    <w:p w:rsidR="006F487B" w:rsidRPr="006F487B" w:rsidRDefault="006F487B" w:rsidP="006F487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gramStart"/>
                      <w:r w:rsidRPr="006F487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Uncertain diagnosis.</w:t>
                      </w:r>
                      <w:proofErr w:type="gramEnd"/>
                    </w:p>
                    <w:p w:rsidR="006F487B" w:rsidRPr="006F487B" w:rsidRDefault="006F487B" w:rsidP="006F487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F487B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Patients unlikely to gain from Specialist Referral </w:t>
                      </w:r>
                    </w:p>
                    <w:p w:rsidR="006F487B" w:rsidRPr="006F487B" w:rsidRDefault="006F487B" w:rsidP="006F487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gramStart"/>
                      <w:r w:rsidRPr="006F487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Mild symptoms / activity restriction not sufficient to warrant surgery.</w:t>
                      </w:r>
                      <w:proofErr w:type="gramEnd"/>
                    </w:p>
                    <w:p w:rsidR="006F487B" w:rsidRPr="006F487B" w:rsidRDefault="006F487B" w:rsidP="006F487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gramStart"/>
                      <w:r w:rsidRPr="006F487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Patient not willing to consider surgical options and activity / work restrictions during rehabilitation.</w:t>
                      </w:r>
                      <w:proofErr w:type="gramEnd"/>
                    </w:p>
                    <w:p w:rsidR="006F487B" w:rsidRPr="006F487B" w:rsidRDefault="006F487B" w:rsidP="006F487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F487B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Thresholds for Elective Surgical Intervention </w:t>
                      </w:r>
                    </w:p>
                    <w:p w:rsidR="006F487B" w:rsidRPr="006F487B" w:rsidRDefault="006F487B" w:rsidP="006F487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F487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Failure of adequate conservative treatment (minimum 3-6 months)</w:t>
                      </w:r>
                    </w:p>
                    <w:p w:rsidR="006F487B" w:rsidRPr="006F487B" w:rsidRDefault="006F487B" w:rsidP="006F487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F487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Significant impact on quality of life</w:t>
                      </w:r>
                    </w:p>
                    <w:p w:rsidR="006F487B" w:rsidRPr="006F487B" w:rsidRDefault="006F487B" w:rsidP="006F487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F487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Disturbance of sleep / self-care</w:t>
                      </w:r>
                    </w:p>
                    <w:p w:rsidR="006F487B" w:rsidRPr="006F487B" w:rsidRDefault="006F487B" w:rsidP="006F487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F487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Impairment of ability to work / care for others</w:t>
                      </w:r>
                    </w:p>
                    <w:p w:rsidR="006F487B" w:rsidRPr="006F487B" w:rsidRDefault="006F487B" w:rsidP="006F487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gramStart"/>
                      <w:r w:rsidRPr="006F487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Willing to accept rehabilitation programme and restricted function during recovery.</w:t>
                      </w:r>
                      <w:proofErr w:type="gramEnd"/>
                    </w:p>
                    <w:p w:rsidR="006F487B" w:rsidRPr="006F487B" w:rsidRDefault="006F487B" w:rsidP="006F487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F487B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What patients can expect from Referral </w:t>
                      </w:r>
                    </w:p>
                    <w:p w:rsidR="006F487B" w:rsidRPr="006F487B" w:rsidRDefault="006F487B" w:rsidP="006F487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F487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Full clinical assessment with further diagnostic imaging if indicated.</w:t>
                      </w:r>
                    </w:p>
                    <w:p w:rsidR="006F487B" w:rsidRPr="006F487B" w:rsidRDefault="006F487B" w:rsidP="006F487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F487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Aim for non-operative treatment where possible through patient education of condition and treatment options, local steroid injections and targeted physiotherapy as indicated.</w:t>
                      </w:r>
                    </w:p>
                    <w:p w:rsidR="006F487B" w:rsidRPr="006F487B" w:rsidRDefault="006F487B" w:rsidP="006F487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F487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Discuss surgical options, explaining admission process, procedure and associated risks as well as expected recovery and rehabilitation programme.</w:t>
                      </w:r>
                    </w:p>
                    <w:p w:rsidR="006F487B" w:rsidRPr="006F487B" w:rsidRDefault="006F487B" w:rsidP="006F487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F487B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Surgical Options </w:t>
                      </w:r>
                    </w:p>
                    <w:p w:rsidR="006F487B" w:rsidRPr="006F487B" w:rsidRDefault="006F487B" w:rsidP="006F487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F487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Shoulder arthroscopic sub-acromial decompression (ASAD +/- </w:t>
                      </w:r>
                      <w:proofErr w:type="spellStart"/>
                      <w:r w:rsidRPr="006F487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acromioplasty</w:t>
                      </w:r>
                      <w:proofErr w:type="spellEnd"/>
                      <w:r w:rsidRPr="006F487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).</w:t>
                      </w:r>
                    </w:p>
                    <w:p w:rsidR="006F487B" w:rsidRPr="006F487B" w:rsidRDefault="006F487B" w:rsidP="006F487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F487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Majority performed as Day-Case (or over-night stay), 2-3 8mm scars.</w:t>
                      </w:r>
                    </w:p>
                    <w:p w:rsidR="006F487B" w:rsidRPr="006F487B" w:rsidRDefault="006F487B" w:rsidP="006F487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gramStart"/>
                      <w:r w:rsidRPr="006F487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Can be combined with excision of the distal clavicle if AC joint involved.</w:t>
                      </w:r>
                      <w:proofErr w:type="gramEnd"/>
                    </w:p>
                    <w:p w:rsidR="006F487B" w:rsidRPr="006F487B" w:rsidRDefault="006F487B" w:rsidP="006F487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F487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Sling for comfort only, early motion encouraged.</w:t>
                      </w:r>
                    </w:p>
                    <w:p w:rsidR="006F487B" w:rsidRPr="006F487B" w:rsidRDefault="006F487B" w:rsidP="006F487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F487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Return to work 2-4 weeks (desk), 4-6 weeks + (physical).</w:t>
                      </w:r>
                    </w:p>
                    <w:p w:rsidR="006F487B" w:rsidRPr="006F487B" w:rsidRDefault="006F487B" w:rsidP="006F487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F487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Return to driving 2-4 weeks (up to 6)</w:t>
                      </w:r>
                    </w:p>
                    <w:p w:rsidR="006F487B" w:rsidRPr="006F487B" w:rsidRDefault="006F487B" w:rsidP="006F487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F487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Some discomfort expected at 6 weeks, majority good at 3-6 months, full resolution of symptoms 9-12 months.</w:t>
                      </w:r>
                    </w:p>
                    <w:p w:rsidR="006F487B" w:rsidRPr="006F487B" w:rsidRDefault="006F487B" w:rsidP="006F487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85% ‘good’</w:t>
                      </w:r>
                      <w:r w:rsidRPr="006F487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result at 12 months (higher if previous good response to steroid injection)</w:t>
                      </w:r>
                    </w:p>
                    <w:p w:rsidR="006F487B" w:rsidRPr="006F487B" w:rsidRDefault="006F487B" w:rsidP="006F487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F487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Main risk is failure to resolve symptoms.</w:t>
                      </w:r>
                    </w:p>
                    <w:p w:rsidR="006F487B" w:rsidRPr="006F487B" w:rsidRDefault="006F487B" w:rsidP="006F487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F487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Patients may be offered other procedures to address associated pathologies (Rotator Cuff repair, Biceps Tendon </w:t>
                      </w:r>
                      <w:proofErr w:type="spellStart"/>
                      <w:r w:rsidRPr="006F487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Tenotomy</w:t>
                      </w:r>
                      <w:proofErr w:type="spellEnd"/>
                      <w:r w:rsidRPr="006F487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, Capsular Release). These may have different implications for the patient which will be discussed with the surgeon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77792" w:rsidRDefault="006F487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079085" wp14:editId="43400DAA">
                <wp:simplePos x="0" y="0"/>
                <wp:positionH relativeFrom="column">
                  <wp:posOffset>-85725</wp:posOffset>
                </wp:positionH>
                <wp:positionV relativeFrom="paragraph">
                  <wp:posOffset>6230620</wp:posOffset>
                </wp:positionV>
                <wp:extent cx="6848475" cy="1504950"/>
                <wp:effectExtent l="0" t="0" r="9525" b="0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504950"/>
                        </a:xfrm>
                        <a:prstGeom prst="flowChartAlternateProcess">
                          <a:avLst/>
                        </a:prstGeom>
                        <a:solidFill>
                          <a:srgbClr val="9FD3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487B" w:rsidRPr="006F487B" w:rsidRDefault="006F487B" w:rsidP="006F487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F487B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Initial Management </w:t>
                            </w:r>
                          </w:p>
                          <w:p w:rsidR="006F487B" w:rsidRPr="006F487B" w:rsidRDefault="006F487B" w:rsidP="006F487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F487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Activity modification (avoid provoking activities, particularly repetitive actions above chest height)</w:t>
                            </w:r>
                          </w:p>
                          <w:p w:rsidR="006F487B" w:rsidRPr="006F487B" w:rsidRDefault="006F487B" w:rsidP="006F487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F487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Regular </w:t>
                            </w:r>
                            <w:proofErr w:type="spellStart"/>
                            <w:r w:rsidRPr="006F487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Paracetamol</w:t>
                            </w:r>
                            <w:proofErr w:type="spellEnd"/>
                            <w:r w:rsidRPr="006F487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and NSAIDs as tolerated.</w:t>
                            </w:r>
                          </w:p>
                          <w:p w:rsidR="006F487B" w:rsidRPr="006F487B" w:rsidRDefault="006F487B" w:rsidP="006F487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F487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Consider sub-acromial steroid injection if no improvement at six weeks (and/or AC joint if indicated).</w:t>
                            </w:r>
                          </w:p>
                          <w:p w:rsidR="006F487B" w:rsidRPr="006F487B" w:rsidRDefault="006F487B" w:rsidP="006F487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F487B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Physiotherapy referral</w:t>
                            </w:r>
                            <w:r w:rsidRPr="006F487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to maintain motion, restore cuff strength and function often improves pain and resolves symptoms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9" o:spid="_x0000_s1034" type="#_x0000_t176" style="position:absolute;margin-left:-6.75pt;margin-top:490.6pt;width:539.25pt;height:11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" fillcolor="#9fd3e1" stroked="f" strokeweight="2pt">
                <v:textbox>
                  <w:txbxContent>
                    <w:p w:rsidR="006F487B" w:rsidRPr="006F487B" w:rsidRDefault="006F487B" w:rsidP="006F487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F487B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Initial Management </w:t>
                      </w:r>
                    </w:p>
                    <w:p w:rsidR="006F487B" w:rsidRPr="006F487B" w:rsidRDefault="006F487B" w:rsidP="006F487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F487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Activity modification (avoid provoking activities, particularly repetitive actions above chest height)</w:t>
                      </w:r>
                    </w:p>
                    <w:p w:rsidR="006F487B" w:rsidRPr="006F487B" w:rsidRDefault="006F487B" w:rsidP="006F487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F487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Regular </w:t>
                      </w:r>
                      <w:proofErr w:type="spellStart"/>
                      <w:r w:rsidRPr="006F487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Paracetamol</w:t>
                      </w:r>
                      <w:proofErr w:type="spellEnd"/>
                      <w:r w:rsidRPr="006F487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and NSAIDs as tolerated.</w:t>
                      </w:r>
                    </w:p>
                    <w:p w:rsidR="006F487B" w:rsidRPr="006F487B" w:rsidRDefault="006F487B" w:rsidP="006F487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F487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Consider sub-acromial steroid injection if no improvement at six weeks (and/or AC joint if indicated).</w:t>
                      </w:r>
                    </w:p>
                    <w:p w:rsidR="006F487B" w:rsidRPr="006F487B" w:rsidRDefault="006F487B" w:rsidP="006F487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F487B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Physiotherapy referral</w:t>
                      </w:r>
                      <w:r w:rsidRPr="006F487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to maintain motion, restore cuff strength and function often improves pain and resolves symptoms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101EEA" wp14:editId="207EDD96">
                <wp:simplePos x="0" y="0"/>
                <wp:positionH relativeFrom="column">
                  <wp:posOffset>-161925</wp:posOffset>
                </wp:positionH>
                <wp:positionV relativeFrom="paragraph">
                  <wp:posOffset>5918200</wp:posOffset>
                </wp:positionV>
                <wp:extent cx="1628775" cy="2381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Advice and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2.75pt;margin-top:466pt;width:128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" filled="f" stroked="f">
                <v:textbox>
                  <w:txbxContent>
                    <w:p w:rsidR="005B1D6C" w:rsidRDefault="005B1D6C" w:rsidP="00773B39">
                      <w:r>
                        <w:t>Advice and Treatment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7792" w:rsidSect="00360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A7F"/>
    <w:multiLevelType w:val="multilevel"/>
    <w:tmpl w:val="43D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74652"/>
    <w:multiLevelType w:val="multilevel"/>
    <w:tmpl w:val="F668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515BD"/>
    <w:multiLevelType w:val="multilevel"/>
    <w:tmpl w:val="5BC8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E6E77"/>
    <w:multiLevelType w:val="multilevel"/>
    <w:tmpl w:val="2928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96740D"/>
    <w:multiLevelType w:val="multilevel"/>
    <w:tmpl w:val="E3CA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E978A8"/>
    <w:multiLevelType w:val="multilevel"/>
    <w:tmpl w:val="39E6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3E4559"/>
    <w:multiLevelType w:val="hybridMultilevel"/>
    <w:tmpl w:val="7A208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3690B"/>
    <w:multiLevelType w:val="multilevel"/>
    <w:tmpl w:val="49A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3A"/>
    <w:rsid w:val="00045964"/>
    <w:rsid w:val="00360E73"/>
    <w:rsid w:val="004F5641"/>
    <w:rsid w:val="005278CA"/>
    <w:rsid w:val="005B1D6C"/>
    <w:rsid w:val="006D7950"/>
    <w:rsid w:val="006F487B"/>
    <w:rsid w:val="00773B39"/>
    <w:rsid w:val="00AC663A"/>
    <w:rsid w:val="00B10130"/>
    <w:rsid w:val="00C77792"/>
    <w:rsid w:val="00D0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F487B"/>
    <w:rPr>
      <w:b/>
      <w:bCs/>
    </w:rPr>
  </w:style>
  <w:style w:type="paragraph" w:styleId="ListParagraph">
    <w:name w:val="List Paragraph"/>
    <w:basedOn w:val="Normal"/>
    <w:uiPriority w:val="34"/>
    <w:qFormat/>
    <w:rsid w:val="006F4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F487B"/>
    <w:rPr>
      <w:b/>
      <w:bCs/>
    </w:rPr>
  </w:style>
  <w:style w:type="paragraph" w:styleId="ListParagraph">
    <w:name w:val="List Paragraph"/>
    <w:basedOn w:val="Normal"/>
    <w:uiPriority w:val="34"/>
    <w:qFormat/>
    <w:rsid w:val="006F4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5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7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6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2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05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664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099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9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32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26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8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60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8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593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85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964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38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45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3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8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8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7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0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4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10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4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3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32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52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06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30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95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469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1437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70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049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3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1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8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57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92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380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7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792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3484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670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9151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158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9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46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8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1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53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666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34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353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6093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20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415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49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8305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319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545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66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8193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0000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995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31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37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817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554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615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772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03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2344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0483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9938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503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084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38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3625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56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45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8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1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1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5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2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Frimley Park Hospital NHS Foundation Trust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Roberts</dc:creator>
  <cp:keywords/>
  <dc:description/>
  <cp:lastModifiedBy>Susanna Roberts</cp:lastModifiedBy>
  <cp:revision>6</cp:revision>
  <dcterms:created xsi:type="dcterms:W3CDTF">2016-02-24T14:54:00Z</dcterms:created>
  <dcterms:modified xsi:type="dcterms:W3CDTF">2016-03-10T09:01:00Z</dcterms:modified>
</cp:coreProperties>
</file>