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9D7223">
        <w:rPr>
          <w:u w:val="single"/>
        </w:rPr>
        <w:t>Frozen Shoulder</w:t>
      </w:r>
      <w:r w:rsidR="009D7223">
        <w:tab/>
      </w:r>
      <w:r w:rsidR="009D7223">
        <w:tab/>
      </w:r>
      <w:r w:rsidR="009D7223">
        <w:tab/>
      </w:r>
      <w:r w:rsidR="009D7223">
        <w:tab/>
      </w:r>
      <w:r w:rsidR="009D7223">
        <w:tab/>
      </w:r>
      <w:r w:rsidR="009D7223">
        <w:tab/>
      </w:r>
      <w:r w:rsidR="009D7223">
        <w:tab/>
      </w:r>
      <w:r w:rsidR="009D7223">
        <w:tab/>
      </w:r>
      <w:r w:rsidR="00360E73">
        <w:rPr>
          <w:u w:val="single"/>
        </w:rPr>
        <w:t>Site:</w:t>
      </w:r>
      <w:r w:rsidR="009D7223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267334</wp:posOffset>
                </wp:positionV>
                <wp:extent cx="6800850" cy="11525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525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Common in people between 40- </w:t>
                            </w:r>
                            <w:proofErr w:type="gramStart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65  years</w:t>
                            </w:r>
                            <w:proofErr w:type="gramEnd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age. More common in women and may follow an earlier injury, period of immobility or surgery. </w:t>
                            </w:r>
                            <w:proofErr w:type="gramStart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Higher incidence for people with diabetes and other endocrine disorders.</w:t>
                            </w:r>
                            <w:proofErr w:type="gramEnd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Often afflicts contra-lateral shoulder but does not recur.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Three phases: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Freezing phase gradual onset of constant pain and sharp exacerbations with sudden movement, 3-6 months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Frozen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phase </w:t>
                            </w: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increasing</w:t>
                            </w:r>
                            <w:proofErr w:type="gramEnd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stiffness and restricted function, 3-6 months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efrosting or recovery phase </w:t>
                            </w: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slow resolution and restoration of activity, 6-12 months</w:t>
                            </w:r>
                          </w:p>
                          <w:p w:rsidR="005B1D6C" w:rsidRPr="009D7223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" fillcolor="#c6d9f1 [671]" stroked="f" strokeweight="2pt">
                <v:textbox>
                  <w:txbxContent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Common in people between 40- </w:t>
                      </w:r>
                      <w:proofErr w:type="gramStart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65  years</w:t>
                      </w:r>
                      <w:proofErr w:type="gramEnd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age. More common in women and may follow an earlier injury, period of immobility or surgery. </w:t>
                      </w:r>
                      <w:proofErr w:type="gramStart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Higher incidence for people with diabetes and other endocrine disorders.</w:t>
                      </w:r>
                      <w:proofErr w:type="gramEnd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Often afflicts contra-lateral shoulder but does not recur.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Three phases: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Freezing phase gradual onset of constant pain and sharp exacerbations with sudden movement, 3-6 months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Frozen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phase </w:t>
                      </w: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increasing</w:t>
                      </w:r>
                      <w:proofErr w:type="gramEnd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stiffness and restricted function, 3-6 months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efrosting or recovery phase </w:t>
                      </w: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slow resolution and restoration of activity, 6-12 months</w:t>
                      </w:r>
                    </w:p>
                    <w:p w:rsidR="005B1D6C" w:rsidRPr="009D7223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9D72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57813" wp14:editId="2EBC70F5">
                <wp:simplePos x="0" y="0"/>
                <wp:positionH relativeFrom="column">
                  <wp:posOffset>-38100</wp:posOffset>
                </wp:positionH>
                <wp:positionV relativeFrom="paragraph">
                  <wp:posOffset>127635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pt;margin-top:10.0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N0sl8n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9D722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EECBC" wp14:editId="341CA271">
                <wp:simplePos x="0" y="0"/>
                <wp:positionH relativeFrom="column">
                  <wp:posOffset>-133350</wp:posOffset>
                </wp:positionH>
                <wp:positionV relativeFrom="paragraph">
                  <wp:posOffset>3261995</wp:posOffset>
                </wp:positionV>
                <wp:extent cx="6848475" cy="23431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3431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Majority of patients manage well with confirmation and explanation of diagnosis and reassurance that condition will eventually resolve with simple symptom control measures.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Treatment targeted at symptom control (pain). No treatment proven to reliably shorten course of condition.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Regular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Paraceta</w:t>
                            </w: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mol</w:t>
                            </w:r>
                            <w:proofErr w:type="spellEnd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NSAIDs as tolerated.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Activity modification (avoid provoking activities, while preserving existing function)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Consider </w:t>
                            </w:r>
                            <w:proofErr w:type="spellStart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gleno</w:t>
                            </w:r>
                            <w:proofErr w:type="spellEnd"/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-humeral intra-articular steroid injection if no improvement at six weeks (or symptoms severe).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Physiotherapy: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Manual Therapy, Heat / Cold Packs, TENS and Acupuncture often give relief.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Early (Freezing Phase) stretching exercises often aggravate symptoms.</w:t>
                            </w:r>
                          </w:p>
                          <w:p w:rsidR="005B1D6C" w:rsidRPr="009D7223" w:rsidRDefault="009D7223" w:rsidP="009D7223">
                            <w:pPr>
                              <w:rPr>
                                <w:rFonts w:cstheme="minorHAnsi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Later (Recovery Phase) referral to restore motion, strength and function can be beneficial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9" type="#_x0000_t176" style="position:absolute;margin-left:-10.5pt;margin-top:256.85pt;width:539.2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" fillcolor="#9fd3e1" stroked="f" strokeweight="2pt">
                <v:textbox>
                  <w:txbxContent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Majority of patients manage well with confirmation and explanation of diagnosis and reassurance that condition will eventually resolve with simple symptom control measures.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Treatment targeted at symptom control (pain). No treatment proven to reliably shorten course of condition.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Regular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Paraceta</w:t>
                      </w: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mol</w:t>
                      </w:r>
                      <w:proofErr w:type="spellEnd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NSAIDs as tolerated.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Activity modification (avoid provoking activities, while preserving existing function)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Consider </w:t>
                      </w:r>
                      <w:proofErr w:type="spellStart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gleno</w:t>
                      </w:r>
                      <w:proofErr w:type="spellEnd"/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-humeral intra-articular steroid injection if no improvement at six weeks (or symptoms severe).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Physiotherapy: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Manual Therapy, Heat / Cold Packs, TENS and Acupuncture often give relief.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Early (Freezing Phase) stretching exercises often aggravate symptoms.</w:t>
                      </w:r>
                    </w:p>
                    <w:p w:rsidR="005B1D6C" w:rsidRPr="009D7223" w:rsidRDefault="009D7223" w:rsidP="009D7223">
                      <w:pPr>
                        <w:rPr>
                          <w:rFonts w:cstheme="minorHAnsi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Later (Recovery Phase) referral to restore motion, strength and function can be beneficial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B25E" wp14:editId="23AE7BDE">
                <wp:simplePos x="0" y="0"/>
                <wp:positionH relativeFrom="column">
                  <wp:posOffset>-85725</wp:posOffset>
                </wp:positionH>
                <wp:positionV relativeFrom="paragraph">
                  <wp:posOffset>2965450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233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DZEzIO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2C491" wp14:editId="6BCBF578">
                <wp:simplePos x="0" y="0"/>
                <wp:positionH relativeFrom="column">
                  <wp:posOffset>-85725</wp:posOffset>
                </wp:positionH>
                <wp:positionV relativeFrom="paragraph">
                  <wp:posOffset>2738120</wp:posOffset>
                </wp:positionV>
                <wp:extent cx="6800850" cy="2286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286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1" type="#_x0000_t176" style="position:absolute;margin-left:-6.75pt;margin-top:215.6pt;width:53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" fillcolor="#ffabab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4F41C" wp14:editId="0F657EDC">
                <wp:simplePos x="0" y="0"/>
                <wp:positionH relativeFrom="column">
                  <wp:posOffset>-114300</wp:posOffset>
                </wp:positionH>
                <wp:positionV relativeFrom="paragraph">
                  <wp:posOffset>2480945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pt;margin-top:195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i8I2&#10;je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08999" wp14:editId="4C6B9DF4">
                <wp:simplePos x="0" y="0"/>
                <wp:positionH relativeFrom="column">
                  <wp:posOffset>-85725</wp:posOffset>
                </wp:positionH>
                <wp:positionV relativeFrom="paragraph">
                  <wp:posOffset>1957071</wp:posOffset>
                </wp:positionV>
                <wp:extent cx="6800850" cy="4762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9D7223" w:rsidRDefault="009D7223" w:rsidP="009D7223">
                            <w:pPr>
                              <w:rPr>
                                <w:rFonts w:cstheme="minorHAnsi"/>
                              </w:rPr>
                            </w:pPr>
                            <w:r w:rsidRPr="009D722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No routine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Ix. Consider shoulder X-ray </w:t>
                            </w:r>
                            <w:r w:rsidRPr="009D722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to exclude fracture (history of trauma) or osteoarthritis (</w:t>
                            </w:r>
                            <w:proofErr w:type="spellStart"/>
                            <w:r w:rsidRPr="009D722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gleno</w:t>
                            </w:r>
                            <w:proofErr w:type="spellEnd"/>
                            <w:r w:rsidRPr="009D722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-humeral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or AC joint).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Typically normal </w:t>
                            </w:r>
                            <w:r w:rsidRPr="009D722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in capsulitis.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3" type="#_x0000_t176" style="position:absolute;margin-left:-6.75pt;margin-top:154.1pt;width:535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" fillcolor="#e5dfec [663]" stroked="f" strokeweight="2pt">
                <v:textbox>
                  <w:txbxContent>
                    <w:p w:rsidR="005B1D6C" w:rsidRPr="009D7223" w:rsidRDefault="009D7223" w:rsidP="009D7223">
                      <w:pPr>
                        <w:rPr>
                          <w:rFonts w:cstheme="minorHAnsi"/>
                        </w:rPr>
                      </w:pPr>
                      <w:r w:rsidRPr="009D722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No routine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Ix. Consider shoulder X-ray </w:t>
                      </w:r>
                      <w:r w:rsidRPr="009D722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to exclude fracture (history of trauma) or osteoarthritis (</w:t>
                      </w:r>
                      <w:proofErr w:type="spellStart"/>
                      <w:r w:rsidRPr="009D722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gleno</w:t>
                      </w:r>
                      <w:proofErr w:type="spellEnd"/>
                      <w:r w:rsidRPr="009D722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-humeral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or AC joint).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Typically normal </w:t>
                      </w:r>
                      <w:r w:rsidRPr="009D722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in capsulitis.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77EA5" wp14:editId="69E25415">
                <wp:simplePos x="0" y="0"/>
                <wp:positionH relativeFrom="column">
                  <wp:posOffset>-85725</wp:posOffset>
                </wp:positionH>
                <wp:positionV relativeFrom="paragraph">
                  <wp:posOffset>1709420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134.6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0A929" wp14:editId="3C264337">
                <wp:simplePos x="0" y="0"/>
                <wp:positionH relativeFrom="column">
                  <wp:posOffset>-85725</wp:posOffset>
                </wp:positionH>
                <wp:positionV relativeFrom="paragraph">
                  <wp:posOffset>690245</wp:posOffset>
                </wp:positionV>
                <wp:extent cx="6800850" cy="10191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 diagnosis and any associated pathology (e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Diabetes).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History of insidious onset and examination finding of restricted rotation of shoulder usually diagnostic.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Gauge symptom severity and impact on quality of life, particularly sleep and self-care.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Impingement symptoms may be present secondary to tight capsule.</w:t>
                            </w:r>
                          </w:p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D722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Weakness with preserved passive rotation rather implies rotator cuff pathology.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5" type="#_x0000_t176" style="position:absolute;margin-left:-6.75pt;margin-top:54.35pt;width:535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" fillcolor="#f1f3b3" stroked="f" strokeweight="2pt">
                <v:textbox>
                  <w:txbxContent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Confirm diagnosis and any associated pathology (e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Diabetes).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History of insidious onset and examination finding of restricted rotation of shoulder usually diagnostic.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Gauge symptom severity and impact on quality of life, particularly sleep and self-care.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Impingement symptoms may be present secondary to tight capsule.</w:t>
                      </w:r>
                    </w:p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9D722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Weakness with preserved passive rotation rather implies rotator cuff pathology.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D6D19" wp14:editId="097F22F0">
                <wp:simplePos x="0" y="0"/>
                <wp:positionH relativeFrom="column">
                  <wp:posOffset>-86360</wp:posOffset>
                </wp:positionH>
                <wp:positionV relativeFrom="paragraph">
                  <wp:posOffset>450850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.8pt;margin-top:35.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C1645" wp14:editId="669F4109">
                <wp:simplePos x="0" y="0"/>
                <wp:positionH relativeFrom="column">
                  <wp:posOffset>-85725</wp:posOffset>
                </wp:positionH>
                <wp:positionV relativeFrom="paragraph">
                  <wp:posOffset>23495</wp:posOffset>
                </wp:positionV>
                <wp:extent cx="6800850" cy="371475"/>
                <wp:effectExtent l="0" t="0" r="0" b="952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14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7223" w:rsidRPr="009D7223" w:rsidRDefault="009D7223" w:rsidP="009D7223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hyperlink r:id="rId7" w:history="1">
                              <w:r w:rsidRPr="009D722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699"/>
                                  <w:sz w:val="18"/>
                                  <w:szCs w:val="18"/>
                                  <w:u w:val="single"/>
                                  <w:lang w:eastAsia="en-GB"/>
                                </w:rPr>
                                <w:t>http://www.nhs.uk/conditions/Frozen-shoulder/Pages/Introduction.aspx</w:t>
                              </w:r>
                            </w:hyperlink>
                            <w:r w:rsidRPr="009D722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margin-left:-6.75pt;margin-top:1.85pt;width:535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" fillcolor="#d6e3bc [1302]" stroked="f" strokeweight="2pt">
                <v:textbox>
                  <w:txbxContent>
                    <w:p w:rsidR="009D7223" w:rsidRPr="009D7223" w:rsidRDefault="009D7223" w:rsidP="009D7223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hyperlink r:id="rId8" w:history="1">
                        <w:r w:rsidRPr="009D7223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u w:val="single"/>
                            <w:lang w:eastAsia="en-GB"/>
                          </w:rPr>
                          <w:t>http://www.nhs.uk/conditions/Frozen-shoulder/Pages/Introduction.aspx</w:t>
                        </w:r>
                      </w:hyperlink>
                      <w:r w:rsidRPr="009D722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94CC2"/>
    <w:multiLevelType w:val="hybridMultilevel"/>
    <w:tmpl w:val="CD92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80104"/>
    <w:multiLevelType w:val="hybridMultilevel"/>
    <w:tmpl w:val="5D2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9D7223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7223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9D7223"/>
    <w:rPr>
      <w:b/>
      <w:bCs/>
    </w:rPr>
  </w:style>
  <w:style w:type="paragraph" w:styleId="ListParagraph">
    <w:name w:val="List Paragraph"/>
    <w:basedOn w:val="Normal"/>
    <w:uiPriority w:val="34"/>
    <w:qFormat/>
    <w:rsid w:val="009D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7223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9D7223"/>
    <w:rPr>
      <w:b/>
      <w:bCs/>
    </w:rPr>
  </w:style>
  <w:style w:type="paragraph" w:styleId="ListParagraph">
    <w:name w:val="List Paragraph"/>
    <w:basedOn w:val="Normal"/>
    <w:uiPriority w:val="34"/>
    <w:qFormat/>
    <w:rsid w:val="009D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1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89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63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6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41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58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6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59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4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2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95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153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37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68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6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Frozen-shoulder/Pages/Introduction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hs.uk/conditions/Frozen-shoulder/Pages/Introduc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2016-03-10T08:37:00Z</dcterms:modified>
</cp:coreProperties>
</file>