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264C8">
        <w:rPr>
          <w:u w:val="single"/>
        </w:rPr>
        <w:t>Claw, Hammer and Mallet Toe</w:t>
      </w:r>
      <w:r w:rsidR="00C264C8">
        <w:tab/>
      </w:r>
      <w:r w:rsidR="00C264C8">
        <w:tab/>
      </w:r>
      <w:r w:rsidR="00C264C8">
        <w:tab/>
      </w:r>
      <w:r w:rsidR="00C264C8">
        <w:tab/>
      </w:r>
      <w:r w:rsidR="00C264C8">
        <w:tab/>
      </w:r>
      <w:r w:rsidR="00C264C8">
        <w:tab/>
      </w:r>
      <w:r w:rsidR="00360E73">
        <w:rPr>
          <w:u w:val="single"/>
        </w:rPr>
        <w:t>Site:</w:t>
      </w:r>
      <w:r w:rsidR="00C264C8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-161925</wp:posOffset>
                </wp:positionH>
                <wp:positionV relativeFrom="paragraph">
                  <wp:posOffset>29210</wp:posOffset>
                </wp:positionV>
                <wp:extent cx="6800850" cy="24955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495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4C8" w:rsidRPr="00C264C8" w:rsidRDefault="00C264C8" w:rsidP="00C264C8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>CLAW TOE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264C8" w:rsidRPr="00C264C8" w:rsidRDefault="00C264C8" w:rsidP="00C264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Characterized by hyperextension at the MTPJ and flexion at both IPJs.</w:t>
                            </w:r>
                          </w:p>
                          <w:p w:rsidR="00C264C8" w:rsidRPr="00C264C8" w:rsidRDefault="00C264C8" w:rsidP="00C264C8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The patient complains of pain in the forefoot and under the metatarsal heads. Usually a bilateral condition and walking may be severely restricted. At first the joints are mobile and can be passively corrected. Later the deformities become fixed and the MTPJ </w:t>
                            </w:r>
                            <w:proofErr w:type="spellStart"/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subluxed</w:t>
                            </w:r>
                            <w:proofErr w:type="spellEnd"/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dislocated. Painful corns may develop on the dorsum of the toes and callosities under the metatarsal heads.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C264C8" w:rsidRPr="00C264C8" w:rsidRDefault="00C264C8" w:rsidP="00C264C8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the toes can be passively straightened relief may be obtained by wearing a metatarsal support or a transverse metatarsal bar fitted to the shoe. If these options fail to relieve discomfort an operation is indicated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12.75pt;margin-top:2.3pt;width:535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" fillcolor="#c6d9f1 [671]" stroked="f" strokeweight="2pt">
                <v:textbox>
                  <w:txbxContent>
                    <w:p w:rsidR="00C264C8" w:rsidRPr="00C264C8" w:rsidRDefault="00C264C8" w:rsidP="00C264C8">
                      <w:pPr>
                        <w:spacing w:after="0" w:line="225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>CLAW TOE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C264C8" w:rsidRPr="00C264C8" w:rsidRDefault="00C264C8" w:rsidP="00C264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Characterized by hyperextension at the MTPJ and flexion at both IPJs.</w:t>
                      </w:r>
                    </w:p>
                    <w:p w:rsidR="00C264C8" w:rsidRPr="00C264C8" w:rsidRDefault="00C264C8" w:rsidP="00C264C8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The patient complains of pain in the forefoot and under the metatarsal heads. Usually a bilateral condition and walking may be severely restricted. At first the joints are mobile and can be passively corrected. Later the deformities become fixed and the MTPJ </w:t>
                      </w:r>
                      <w:proofErr w:type="spellStart"/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subluxed</w:t>
                      </w:r>
                      <w:proofErr w:type="spellEnd"/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dislocated. Painful corns may develop on the dorsum of the toes and callosities under the metatarsal heads.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C264C8" w:rsidRPr="00C264C8" w:rsidRDefault="00C264C8" w:rsidP="00C264C8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the toes can be passively straightened relief may be obtained by wearing a metatarsal support or a transverse metatarsal bar fitted to the shoe. If these options fail to relieve discomfort an operation is indicated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C264C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1FDA5" wp14:editId="3F6C8506">
                <wp:simplePos x="0" y="0"/>
                <wp:positionH relativeFrom="column">
                  <wp:posOffset>-104775</wp:posOffset>
                </wp:positionH>
                <wp:positionV relativeFrom="paragraph">
                  <wp:posOffset>3128645</wp:posOffset>
                </wp:positionV>
                <wp:extent cx="6800850" cy="14287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28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4C8" w:rsidRPr="00C264C8" w:rsidRDefault="00C264C8" w:rsidP="00C264C8">
                            <w:pPr>
                              <w:spacing w:after="0" w:line="240" w:lineRule="atLeast"/>
                              <w:ind w:left="432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</w:rPr>
                              <w:t>MALLET TOE</w:t>
                            </w:r>
                          </w:p>
                          <w:p w:rsid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is a flexion deformity of the DIPJ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mainstay of treatment is chiropody and padding. If this does not help operation is indicated. The toe is 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traightened by excision of the </w:t>
                            </w: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articular surfaces.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7" type="#_x0000_t176" style="position:absolute;margin-left:-8.25pt;margin-top:246.35pt;width:535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" fillcolor="#d6e3bc [1302]" stroked="f" strokeweight="2pt">
                <v:textbox>
                  <w:txbxContent>
                    <w:p w:rsidR="00C264C8" w:rsidRPr="00C264C8" w:rsidRDefault="00C264C8" w:rsidP="00C264C8">
                      <w:pPr>
                        <w:spacing w:after="0" w:line="240" w:lineRule="atLeast"/>
                        <w:ind w:left="4320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cstheme="minorHAnsi"/>
                          <w:b/>
                          <w:bCs/>
                          <w:color w:val="006699"/>
                          <w:sz w:val="18"/>
                          <w:szCs w:val="18"/>
                        </w:rPr>
                        <w:t>MALLET TOE</w:t>
                      </w:r>
                    </w:p>
                    <w:p w:rsid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is a flexion deformity of the DIPJ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mainstay of treatment is chiropody and padding. If this does not help operation is indicated. The toe is 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traightened by excision of the </w:t>
                      </w: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articular surfaces.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5882" wp14:editId="2D733697">
                <wp:simplePos x="0" y="0"/>
                <wp:positionH relativeFrom="column">
                  <wp:posOffset>-161925</wp:posOffset>
                </wp:positionH>
                <wp:positionV relativeFrom="paragraph">
                  <wp:posOffset>1147445</wp:posOffset>
                </wp:positionV>
                <wp:extent cx="6800850" cy="17907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907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4C8" w:rsidRPr="00C264C8" w:rsidRDefault="00C264C8" w:rsidP="00C264C8">
                            <w:pPr>
                              <w:spacing w:after="0" w:line="225" w:lineRule="atLeast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6699"/>
                                <w:sz w:val="18"/>
                                <w:szCs w:val="18"/>
                                <w:lang w:eastAsia="en-GB"/>
                              </w:rPr>
                              <w:t>HAMMER TOE</w:t>
                            </w:r>
                          </w:p>
                          <w:p w:rsid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</w:t>
                            </w: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Characterised by acute flexion of the PIPJ only.</w:t>
                            </w:r>
                            <w:proofErr w:type="gramEnd"/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 severe examples there may be some extension at the MTPJ.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DIPJ is either straight or hyper extended. The second toe of one or both feet is commonly affected.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C264C8" w:rsidRDefault="00C264C8" w:rsidP="00C264C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&amp; Treatment</w:t>
                            </w:r>
                          </w:p>
                          <w:p w:rsidR="00C264C8" w:rsidRPr="00C264C8" w:rsidRDefault="00C264C8" w:rsidP="00C264C8">
                            <w:pPr>
                              <w:spacing w:after="0" w:line="240" w:lineRule="atLeast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Operative correction is indicated for pain or difficulty with shoes. The toe is shortene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 and straightened by excising </w:t>
                            </w:r>
                            <w:r w:rsidRPr="00C264C8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joint.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8" type="#_x0000_t176" style="position:absolute;margin-left:-12.75pt;margin-top:90.35pt;width:535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" fillcolor="#f1f3b3" stroked="f" strokeweight="2pt">
                <v:textbox>
                  <w:txbxContent>
                    <w:p w:rsidR="00C264C8" w:rsidRPr="00C264C8" w:rsidRDefault="00C264C8" w:rsidP="00C264C8">
                      <w:pPr>
                        <w:spacing w:after="0" w:line="225" w:lineRule="atLeast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6699"/>
                          <w:sz w:val="18"/>
                          <w:szCs w:val="18"/>
                          <w:lang w:eastAsia="en-GB"/>
                        </w:rPr>
                        <w:t>HAMMER TOE</w:t>
                      </w:r>
                    </w:p>
                    <w:p w:rsid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History</w:t>
                      </w: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Characterised by acute flexion of the PIPJ only.</w:t>
                      </w:r>
                      <w:proofErr w:type="gramEnd"/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 severe examples there may be some extension at the MTPJ.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DIPJ is either straight or hyper extended. The second toe of one or both feet is commonly affected.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C264C8" w:rsidRDefault="00C264C8" w:rsidP="00C264C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Advice &amp; Treatment</w:t>
                      </w:r>
                    </w:p>
                    <w:p w:rsidR="00C264C8" w:rsidRPr="00C264C8" w:rsidRDefault="00C264C8" w:rsidP="00C264C8">
                      <w:pPr>
                        <w:spacing w:after="0" w:line="240" w:lineRule="atLeast"/>
                        <w:textAlignment w:val="baseline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Operative correction is indicated for pain or difficulty with shoes. The toe is shortene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 and straightened by excising </w:t>
                      </w:r>
                      <w:r w:rsidRPr="00C264C8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joint.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4FA"/>
    <w:multiLevelType w:val="multilevel"/>
    <w:tmpl w:val="ED3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135D1"/>
    <w:multiLevelType w:val="multilevel"/>
    <w:tmpl w:val="C8D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2235A"/>
    <w:multiLevelType w:val="multilevel"/>
    <w:tmpl w:val="DE9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B5225"/>
    <w:multiLevelType w:val="multilevel"/>
    <w:tmpl w:val="495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55B63"/>
    <w:multiLevelType w:val="multilevel"/>
    <w:tmpl w:val="4FB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F3D70"/>
    <w:multiLevelType w:val="multilevel"/>
    <w:tmpl w:val="6CC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B5031"/>
    <w:rsid w:val="00AC663A"/>
    <w:rsid w:val="00B10130"/>
    <w:rsid w:val="00C264C8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2016-03-09T11:37:00Z</dcterms:modified>
</cp:coreProperties>
</file>