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601D48">
        <w:rPr>
          <w:u w:val="single"/>
        </w:rPr>
        <w:t>Deformities of the Lesser Toes</w:t>
      </w:r>
      <w:r w:rsidR="00601D48">
        <w:tab/>
      </w:r>
      <w:r w:rsidR="00601D48">
        <w:tab/>
      </w:r>
      <w:r w:rsidR="00601D48">
        <w:tab/>
      </w:r>
      <w:r w:rsidR="00601D48">
        <w:tab/>
      </w:r>
      <w:r w:rsidR="00601D48">
        <w:tab/>
      </w:r>
      <w:r w:rsidR="00601D48">
        <w:tab/>
      </w:r>
      <w:r w:rsidR="00360E73">
        <w:rPr>
          <w:u w:val="single"/>
        </w:rPr>
        <w:t>Site:</w:t>
      </w:r>
      <w:r w:rsidR="00601D48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635</wp:posOffset>
                </wp:positionV>
                <wp:extent cx="6800850" cy="1838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38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D48" w:rsidRPr="00601D48" w:rsidRDefault="00601D48" w:rsidP="00601D48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>CLAW TOE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Characterized by hyperextension at the MTPJ and flexion at both IPJs.</w:t>
                            </w:r>
                            <w:proofErr w:type="gramEnd"/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The patient complains of pain in the forefoot and under the metatarsal heads. Usually a bilateral condition and walking may be severely restricted. At first the joints are mobile and can be passively corrected. Later the deformities become fixed and the MTPJ </w:t>
                            </w:r>
                            <w:proofErr w:type="spellStart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subluxed</w:t>
                            </w:r>
                            <w:proofErr w:type="spellEnd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dislocated. Painful corns may develop on the dorsum of the toes and callosities under the metatarsal heads.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the toes can be passively straightened relief may be obtained by wearing a metatarsal support or a transverse metatarsal bar fitted to the shoe. If these options fail to relieve discomfort an operation is indicated.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.05pt;width:535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" fillcolor="#c6d9f1 [671]" stroked="f" strokeweight="2pt">
                <v:textbox>
                  <w:txbxContent>
                    <w:p w:rsidR="00601D48" w:rsidRPr="00601D48" w:rsidRDefault="00601D48" w:rsidP="00601D48">
                      <w:pPr>
                        <w:spacing w:after="0" w:line="225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>CLAW TOE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Characterized by hyperextension at the MTPJ and flexion at both IPJs.</w:t>
                      </w:r>
                      <w:proofErr w:type="gramEnd"/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The patient complains of pain in the forefoot and under the metatarsal heads. Usually a bilateral condition and walking may be severely restricted. At first the joints are mobile and can be passively corrected. Later the deformities become fixed and the MTPJ </w:t>
                      </w:r>
                      <w:proofErr w:type="spellStart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subluxed</w:t>
                      </w:r>
                      <w:proofErr w:type="spellEnd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dislocated. Painful corns may develop on the dorsum of the toes and callosities under the metatarsal heads.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the toes can be passively straightened relief may be obtained by wearing a metatarsal support or a transverse metatarsal bar fitted to the shoe. If these options fail to relieve discomfort an operation is indicated.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601D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2491" wp14:editId="14F2A97E">
                <wp:simplePos x="0" y="0"/>
                <wp:positionH relativeFrom="column">
                  <wp:posOffset>-85725</wp:posOffset>
                </wp:positionH>
                <wp:positionV relativeFrom="paragraph">
                  <wp:posOffset>2185670</wp:posOffset>
                </wp:positionV>
                <wp:extent cx="6800850" cy="16859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859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D48" w:rsidRPr="00601D48" w:rsidRDefault="00601D48" w:rsidP="00601D48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>HAMMER TOE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Characterised by acute flexion of the PIPJ only.</w:t>
                            </w:r>
                            <w:proofErr w:type="gramEnd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severe examples there may be some extension at the </w:t>
                            </w:r>
                            <w:proofErr w:type="spellStart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MTPJ.The</w:t>
                            </w:r>
                            <w:proofErr w:type="spellEnd"/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DIPJ is either straight or hyper extended. The second toe of one or both feet is commonly affected.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Operative correction is indicated for pain or difficulty with shoes. The toe is shortene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 and straightened by excising </w:t>
                            </w: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joint.</w:t>
                            </w:r>
                          </w:p>
                          <w:p w:rsidR="00601D48" w:rsidRPr="00601D48" w:rsidRDefault="00601D48" w:rsidP="00601D48">
                            <w:pPr>
                              <w:spacing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7" type="#_x0000_t176" style="position:absolute;margin-left:-6.75pt;margin-top:172.1pt;width:535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" fillcolor="#f1f3b3" stroked="f" strokeweight="2pt">
                <v:textbox>
                  <w:txbxContent>
                    <w:p w:rsidR="00601D48" w:rsidRPr="00601D48" w:rsidRDefault="00601D48" w:rsidP="00601D48">
                      <w:pPr>
                        <w:spacing w:after="0" w:line="225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>HAMMER TOE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Characterised by acute flexion of the PIPJ only.</w:t>
                      </w:r>
                      <w:proofErr w:type="gramEnd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severe examples there may be some extension at the </w:t>
                      </w:r>
                      <w:proofErr w:type="spellStart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MTPJ.The</w:t>
                      </w:r>
                      <w:proofErr w:type="spellEnd"/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DIPJ is either straight or hyper extended. The second toe of one or both feet is commonly affected.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Operative correction is indicated for pain or difficulty with shoes. The toe is shortene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 and straightened by excising </w:t>
                      </w: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joint.</w:t>
                      </w:r>
                    </w:p>
                    <w:p w:rsidR="00601D48" w:rsidRPr="00601D48" w:rsidRDefault="00601D48" w:rsidP="00601D48">
                      <w:pPr>
                        <w:spacing w:line="225" w:lineRule="atLeast"/>
                        <w:jc w:val="center"/>
                        <w:rPr>
                          <w:rFonts w:eastAsia="Times New Roman" w:cstheme="minorHAnsi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B441" wp14:editId="0C62E7E6">
                <wp:simplePos x="0" y="0"/>
                <wp:positionH relativeFrom="column">
                  <wp:posOffset>-85725</wp:posOffset>
                </wp:positionH>
                <wp:positionV relativeFrom="paragraph">
                  <wp:posOffset>433070</wp:posOffset>
                </wp:positionV>
                <wp:extent cx="6800850" cy="15335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335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D48" w:rsidRPr="00601D48" w:rsidRDefault="00601D48" w:rsidP="00601D48">
                            <w:pPr>
                              <w:spacing w:after="0"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>MALLET TOE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is a flexion deformity of the DIPJ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601D48" w:rsidRPr="00601D48" w:rsidRDefault="00601D48" w:rsidP="00601D4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mainstay of treatment is chiropody and padding. If this does not help operation is indicated. The toe is 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traightened by excision of the </w:t>
                            </w:r>
                            <w:r w:rsidRPr="00601D4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articular surfaces.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34.1pt;width:535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" fillcolor="#d6e3bc [1302]" stroked="f" strokeweight="2pt">
                <v:textbox>
                  <w:txbxContent>
                    <w:p w:rsidR="00601D48" w:rsidRPr="00601D48" w:rsidRDefault="00601D48" w:rsidP="00601D48">
                      <w:pPr>
                        <w:spacing w:after="0" w:line="225" w:lineRule="atLeas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>MALLET TOE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is a flexion deformity of the DIPJ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601D48" w:rsidRPr="00601D48" w:rsidRDefault="00601D48" w:rsidP="00601D4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mainstay of treatment is chiropody and padding. If this does not help operation is indicated. The toe is 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traightened by excision of the </w:t>
                      </w:r>
                      <w:r w:rsidRPr="00601D4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articular surfaces.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5254"/>
    <w:multiLevelType w:val="multilevel"/>
    <w:tmpl w:val="2B6C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0C02"/>
    <w:multiLevelType w:val="multilevel"/>
    <w:tmpl w:val="B30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598E"/>
    <w:multiLevelType w:val="multilevel"/>
    <w:tmpl w:val="C44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126D3"/>
    <w:multiLevelType w:val="multilevel"/>
    <w:tmpl w:val="685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129A4"/>
    <w:multiLevelType w:val="multilevel"/>
    <w:tmpl w:val="4EE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B60"/>
    <w:multiLevelType w:val="multilevel"/>
    <w:tmpl w:val="0F28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01D48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1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2016-03-09T09:59:00Z</dcterms:modified>
</cp:coreProperties>
</file>