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D525" w14:textId="77777777" w:rsidR="00980280" w:rsidRDefault="00980280" w:rsidP="007B489B">
      <w:pPr>
        <w:rPr>
          <w:rFonts w:ascii="Arial" w:hAnsi="Arial" w:cs="Arial"/>
        </w:rPr>
      </w:pPr>
    </w:p>
    <w:p w14:paraId="23BCBDBE" w14:textId="5836CA10" w:rsidR="00980280" w:rsidRPr="007B1649" w:rsidRDefault="00980280" w:rsidP="00980280">
      <w:pPr>
        <w:rPr>
          <w:rFonts w:ascii="Arial" w:hAnsi="Arial" w:cs="Arial"/>
          <w:i/>
          <w:sz w:val="20"/>
          <w:szCs w:val="20"/>
        </w:rPr>
      </w:pPr>
      <w:r w:rsidRPr="007B1649">
        <w:rPr>
          <w:rFonts w:ascii="Arial" w:hAnsi="Arial" w:cs="Arial"/>
          <w:i/>
          <w:sz w:val="20"/>
          <w:szCs w:val="20"/>
        </w:rPr>
        <w:t xml:space="preserve">Extract from the below named document for ICS Implementation purposes;  </w:t>
      </w:r>
      <w:hyperlink r:id="rId7" w:history="1">
        <w:r w:rsidR="007B1649" w:rsidRPr="007B1649">
          <w:rPr>
            <w:rStyle w:val="Hyperlink"/>
            <w:rFonts w:ascii="Arial" w:hAnsi="Arial" w:cs="Arial"/>
            <w:i/>
            <w:sz w:val="20"/>
            <w:szCs w:val="20"/>
          </w:rPr>
          <w:t>Microsoft Word - EBI consultation response statutory guidance 11 Jan 2019 FINAL v2.0 CLEAN + cover sheet.docx (aomrc.org.uk)</w:t>
        </w:r>
      </w:hyperlink>
      <w:r w:rsidRPr="007B1649">
        <w:rPr>
          <w:rFonts w:ascii="Arial" w:hAnsi="Arial" w:cs="Arial"/>
          <w:i/>
          <w:sz w:val="20"/>
          <w:szCs w:val="20"/>
        </w:rPr>
        <w:t xml:space="preserve"> </w:t>
      </w:r>
    </w:p>
    <w:p w14:paraId="1AC7D893" w14:textId="77777777" w:rsidR="00980280" w:rsidRDefault="00980280" w:rsidP="00980280">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7FCC3BDE" w14:textId="77777777" w:rsidR="00980280" w:rsidRDefault="00980280" w:rsidP="007B489B">
      <w:pPr>
        <w:rPr>
          <w:rFonts w:ascii="Arial" w:hAnsi="Arial" w:cs="Arial"/>
        </w:rPr>
      </w:pPr>
    </w:p>
    <w:p w14:paraId="5921A3E4" w14:textId="77777777" w:rsidR="007B489B" w:rsidRPr="005B353A" w:rsidRDefault="00374235" w:rsidP="007B489B">
      <w:pPr>
        <w:rPr>
          <w:rFonts w:ascii="Arial" w:hAnsi="Arial" w:cs="Arial"/>
          <w:sz w:val="24"/>
        </w:rPr>
      </w:pPr>
      <w:proofErr w:type="spellStart"/>
      <w:r w:rsidRPr="005B353A">
        <w:rPr>
          <w:rFonts w:ascii="Arial" w:hAnsi="Arial" w:cs="Arial"/>
          <w:sz w:val="24"/>
        </w:rPr>
        <w:t>Dupuytren’s</w:t>
      </w:r>
      <w:proofErr w:type="spellEnd"/>
      <w:r w:rsidRPr="005B353A">
        <w:rPr>
          <w:rFonts w:ascii="Arial" w:hAnsi="Arial" w:cs="Arial"/>
          <w:sz w:val="24"/>
        </w:rPr>
        <w:t xml:space="preserve"> contracture release in adults </w:t>
      </w:r>
    </w:p>
    <w:p w14:paraId="7A993F8F" w14:textId="77777777" w:rsidR="007B489B" w:rsidRPr="005B353A" w:rsidRDefault="007B489B" w:rsidP="007B489B">
      <w:pPr>
        <w:rPr>
          <w:rFonts w:ascii="Arial" w:hAnsi="Arial" w:cs="Arial"/>
          <w:sz w:val="24"/>
        </w:rPr>
      </w:pPr>
    </w:p>
    <w:p w14:paraId="64285A11" w14:textId="77777777" w:rsidR="00374235" w:rsidRPr="005B353A" w:rsidRDefault="00374235" w:rsidP="007B489B">
      <w:pPr>
        <w:rPr>
          <w:rFonts w:ascii="Arial" w:hAnsi="Arial" w:cs="Arial"/>
          <w:sz w:val="24"/>
        </w:rPr>
      </w:pPr>
      <w:r w:rsidRPr="005B353A">
        <w:rPr>
          <w:rFonts w:ascii="Arial" w:hAnsi="Arial" w:cs="Arial"/>
          <w:sz w:val="24"/>
        </w:rPr>
        <w:t>Updated description of the intervention</w:t>
      </w:r>
    </w:p>
    <w:p w14:paraId="7B142799" w14:textId="77777777" w:rsidR="007B489B" w:rsidRPr="00980280" w:rsidRDefault="007B489B" w:rsidP="007B489B">
      <w:pPr>
        <w:rPr>
          <w:rFonts w:ascii="Arial" w:hAnsi="Arial" w:cs="Arial"/>
        </w:rPr>
      </w:pPr>
    </w:p>
    <w:p w14:paraId="4F400839" w14:textId="77777777" w:rsidR="00374235" w:rsidRPr="00980280" w:rsidRDefault="00374235" w:rsidP="007B489B">
      <w:pPr>
        <w:rPr>
          <w:rFonts w:ascii="Arial" w:hAnsi="Arial" w:cs="Arial"/>
        </w:rPr>
      </w:pPr>
      <w:r w:rsidRPr="00980280">
        <w:rPr>
          <w:rFonts w:ascii="Arial" w:hAnsi="Arial" w:cs="Arial"/>
        </w:rPr>
        <w:t xml:space="preserve">NICE recommends no treatment is necessary for people with </w:t>
      </w:r>
      <w:proofErr w:type="spellStart"/>
      <w:r w:rsidRPr="00980280">
        <w:rPr>
          <w:rFonts w:ascii="Arial" w:hAnsi="Arial" w:cs="Arial"/>
        </w:rPr>
        <w:t>Dupuytren’s</w:t>
      </w:r>
      <w:proofErr w:type="spellEnd"/>
      <w:r w:rsidRPr="00980280">
        <w:rPr>
          <w:rFonts w:ascii="Arial" w:hAnsi="Arial" w:cs="Arial"/>
        </w:rPr>
        <w:t xml:space="preserve"> disease who do not have contracture. Referral to hand surgery should be made for people with </w:t>
      </w:r>
      <w:proofErr w:type="spellStart"/>
      <w:r w:rsidRPr="00980280">
        <w:rPr>
          <w:rFonts w:ascii="Arial" w:hAnsi="Arial" w:cs="Arial"/>
        </w:rPr>
        <w:t>Dupuytren’s</w:t>
      </w:r>
      <w:proofErr w:type="spellEnd"/>
      <w:r w:rsidRPr="00980280">
        <w:rPr>
          <w:rFonts w:ascii="Arial" w:hAnsi="Arial" w:cs="Arial"/>
        </w:rPr>
        <w:t xml:space="preserve"> contractures according to the criteria listed below.</w:t>
      </w:r>
    </w:p>
    <w:p w14:paraId="6688656C" w14:textId="77777777" w:rsidR="00374235" w:rsidRPr="00980280" w:rsidRDefault="00374235" w:rsidP="007B489B">
      <w:pPr>
        <w:rPr>
          <w:rFonts w:ascii="Arial" w:hAnsi="Arial" w:cs="Arial"/>
        </w:rPr>
      </w:pPr>
    </w:p>
    <w:p w14:paraId="19A7BD99" w14:textId="77777777" w:rsidR="00374235" w:rsidRPr="00980280" w:rsidRDefault="00374235" w:rsidP="007B489B">
      <w:pPr>
        <w:rPr>
          <w:rFonts w:ascii="Arial" w:hAnsi="Arial" w:cs="Arial"/>
        </w:rPr>
      </w:pPr>
      <w:r w:rsidRPr="00980280">
        <w:rPr>
          <w:rFonts w:ascii="Arial" w:hAnsi="Arial" w:cs="Arial"/>
        </w:rPr>
        <w:t>Updated clinical criteria</w:t>
      </w:r>
    </w:p>
    <w:p w14:paraId="5321567F" w14:textId="77777777" w:rsidR="00374235" w:rsidRPr="00980280" w:rsidRDefault="00374235" w:rsidP="007B489B">
      <w:pPr>
        <w:rPr>
          <w:rFonts w:ascii="Arial" w:hAnsi="Arial" w:cs="Arial"/>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374235" w:rsidRPr="00980280" w14:paraId="3C7E6F80" w14:textId="77777777" w:rsidTr="005B353A">
        <w:trPr>
          <w:trHeight w:val="275"/>
        </w:trPr>
        <w:tc>
          <w:tcPr>
            <w:tcW w:w="9781" w:type="dxa"/>
            <w:shd w:val="clear" w:color="auto" w:fill="16365D"/>
          </w:tcPr>
          <w:p w14:paraId="41001DA7" w14:textId="77777777" w:rsidR="00374235" w:rsidRPr="00980280" w:rsidRDefault="00374235" w:rsidP="007B489B">
            <w:pPr>
              <w:rPr>
                <w:rFonts w:ascii="Arial" w:hAnsi="Arial" w:cs="Arial"/>
              </w:rPr>
            </w:pPr>
            <w:r w:rsidRPr="00980280">
              <w:rPr>
                <w:rFonts w:ascii="Arial" w:hAnsi="Arial" w:cs="Arial"/>
              </w:rPr>
              <w:t>Summary of intervention</w:t>
            </w:r>
          </w:p>
        </w:tc>
      </w:tr>
      <w:tr w:rsidR="00374235" w:rsidRPr="00980280" w14:paraId="2BCA9F03" w14:textId="77777777" w:rsidTr="005B353A">
        <w:trPr>
          <w:trHeight w:val="5437"/>
        </w:trPr>
        <w:tc>
          <w:tcPr>
            <w:tcW w:w="9781" w:type="dxa"/>
          </w:tcPr>
          <w:p w14:paraId="5988678D" w14:textId="77777777" w:rsidR="00374235" w:rsidRPr="00980280" w:rsidRDefault="00374235" w:rsidP="007B489B">
            <w:pPr>
              <w:rPr>
                <w:rFonts w:ascii="Arial" w:hAnsi="Arial" w:cs="Arial"/>
              </w:rPr>
            </w:pPr>
            <w:proofErr w:type="spellStart"/>
            <w:r w:rsidRPr="00980280">
              <w:rPr>
                <w:rFonts w:ascii="Arial" w:hAnsi="Arial" w:cs="Arial"/>
              </w:rPr>
              <w:t>Dupuytren’s</w:t>
            </w:r>
            <w:proofErr w:type="spellEnd"/>
            <w:r w:rsidRPr="00980280">
              <w:rPr>
                <w:rFonts w:ascii="Arial" w:hAnsi="Arial" w:cs="Arial"/>
              </w:rPr>
              <w:t xml:space="preserve"> contracture is caused by fibrous bands in the palm of the hand which draw the finger(s) (and sometimes the thumb) </w:t>
            </w:r>
            <w:proofErr w:type="gramStart"/>
            <w:r w:rsidRPr="00980280">
              <w:rPr>
                <w:rFonts w:ascii="Arial" w:hAnsi="Arial" w:cs="Arial"/>
              </w:rPr>
              <w:t>into  the</w:t>
            </w:r>
            <w:proofErr w:type="gramEnd"/>
            <w:r w:rsidRPr="00980280">
              <w:rPr>
                <w:rFonts w:ascii="Arial" w:hAnsi="Arial" w:cs="Arial"/>
              </w:rPr>
              <w:t xml:space="preserve">  palm  and  prevent  them from straightening fully. If not treated the finger(s) may bend so far into the </w:t>
            </w:r>
            <w:proofErr w:type="gramStart"/>
            <w:r w:rsidRPr="00980280">
              <w:rPr>
                <w:rFonts w:ascii="Arial" w:hAnsi="Arial" w:cs="Arial"/>
              </w:rPr>
              <w:t>palm  that</w:t>
            </w:r>
            <w:proofErr w:type="gramEnd"/>
            <w:r w:rsidRPr="00980280">
              <w:rPr>
                <w:rFonts w:ascii="Arial" w:hAnsi="Arial" w:cs="Arial"/>
              </w:rPr>
              <w:t xml:space="preserve"> they cannot be straightened. All treatments aim to straighten the finger(s) to restore and retain hand function for the rest of </w:t>
            </w:r>
            <w:proofErr w:type="gramStart"/>
            <w:r w:rsidRPr="00980280">
              <w:rPr>
                <w:rFonts w:ascii="Arial" w:hAnsi="Arial" w:cs="Arial"/>
              </w:rPr>
              <w:t>the  patient’s</w:t>
            </w:r>
            <w:proofErr w:type="gramEnd"/>
            <w:r w:rsidRPr="00980280">
              <w:rPr>
                <w:rFonts w:ascii="Arial" w:hAnsi="Arial" w:cs="Arial"/>
              </w:rPr>
              <w:t xml:space="preserve">  life.  </w:t>
            </w:r>
            <w:proofErr w:type="gramStart"/>
            <w:r w:rsidRPr="00980280">
              <w:rPr>
                <w:rFonts w:ascii="Arial" w:hAnsi="Arial" w:cs="Arial"/>
              </w:rPr>
              <w:t>However  none</w:t>
            </w:r>
            <w:proofErr w:type="gramEnd"/>
            <w:r w:rsidRPr="00980280">
              <w:rPr>
                <w:rFonts w:ascii="Arial" w:hAnsi="Arial" w:cs="Arial"/>
              </w:rPr>
              <w:t xml:space="preserve"> cure the condition which can recur after any intervention so that further   interventions are required.</w:t>
            </w:r>
          </w:p>
          <w:p w14:paraId="60F97532" w14:textId="77777777" w:rsidR="00374235" w:rsidRPr="00980280" w:rsidRDefault="00374235" w:rsidP="007B489B">
            <w:pPr>
              <w:rPr>
                <w:rFonts w:ascii="Arial" w:hAnsi="Arial" w:cs="Arial"/>
              </w:rPr>
            </w:pPr>
          </w:p>
          <w:p w14:paraId="5D11EB5C" w14:textId="77777777" w:rsidR="00374235" w:rsidRPr="00980280" w:rsidRDefault="00374235" w:rsidP="007B489B">
            <w:pPr>
              <w:rPr>
                <w:rFonts w:ascii="Arial" w:hAnsi="Arial" w:cs="Arial"/>
              </w:rPr>
            </w:pPr>
            <w:r w:rsidRPr="00980280">
              <w:rPr>
                <w:rFonts w:ascii="Arial" w:hAnsi="Arial" w:cs="Arial"/>
              </w:rPr>
              <w:t xml:space="preserve">Splinting and radiotherapy have not been shown be effective treatments of established </w:t>
            </w:r>
            <w:proofErr w:type="spellStart"/>
            <w:r w:rsidRPr="00980280">
              <w:rPr>
                <w:rFonts w:ascii="Arial" w:hAnsi="Arial" w:cs="Arial"/>
              </w:rPr>
              <w:t>Dupuytren’s</w:t>
            </w:r>
            <w:proofErr w:type="spellEnd"/>
            <w:r w:rsidRPr="00980280">
              <w:rPr>
                <w:rFonts w:ascii="Arial" w:hAnsi="Arial" w:cs="Arial"/>
              </w:rPr>
              <w:t xml:space="preserve"> contractures.</w:t>
            </w:r>
          </w:p>
          <w:p w14:paraId="137F0D5A" w14:textId="77777777" w:rsidR="00374235" w:rsidRPr="00980280" w:rsidRDefault="00374235" w:rsidP="007B489B">
            <w:pPr>
              <w:rPr>
                <w:rFonts w:ascii="Arial" w:hAnsi="Arial" w:cs="Arial"/>
              </w:rPr>
            </w:pPr>
          </w:p>
          <w:p w14:paraId="0C3002E0" w14:textId="77777777" w:rsidR="00374235" w:rsidRPr="00980280" w:rsidRDefault="00374235" w:rsidP="007B489B">
            <w:pPr>
              <w:rPr>
                <w:rFonts w:ascii="Arial" w:hAnsi="Arial" w:cs="Arial"/>
              </w:rPr>
            </w:pPr>
            <w:r w:rsidRPr="00980280">
              <w:rPr>
                <w:rFonts w:ascii="Arial" w:hAnsi="Arial" w:cs="Arial"/>
              </w:rPr>
              <w:t xml:space="preserve">Several treatments are available: collagenase injections, needle fasciotomy, fasciectomy and </w:t>
            </w:r>
            <w:proofErr w:type="spellStart"/>
            <w:r w:rsidRPr="00980280">
              <w:rPr>
                <w:rFonts w:ascii="Arial" w:hAnsi="Arial" w:cs="Arial"/>
              </w:rPr>
              <w:t>dermofasciectomy</w:t>
            </w:r>
            <w:proofErr w:type="spellEnd"/>
            <w:r w:rsidRPr="00980280">
              <w:rPr>
                <w:rFonts w:ascii="Arial" w:hAnsi="Arial" w:cs="Arial"/>
              </w:rPr>
              <w:t xml:space="preserve">. None is entirely satisfactory with some having slower recovery periods, higher complication rates or higher reoperation rates (for recurrence) than others. The need for, and choice of, intervention should be made on an individual basis and should be a shared decision between the patient and a practitioner with expertise in the various treatments of </w:t>
            </w:r>
            <w:proofErr w:type="spellStart"/>
            <w:r w:rsidRPr="00980280">
              <w:rPr>
                <w:rFonts w:ascii="Arial" w:hAnsi="Arial" w:cs="Arial"/>
              </w:rPr>
              <w:t>Dupuytren’s</w:t>
            </w:r>
            <w:proofErr w:type="spellEnd"/>
            <w:r w:rsidRPr="00980280">
              <w:rPr>
                <w:rFonts w:ascii="Arial" w:hAnsi="Arial" w:cs="Arial"/>
              </w:rPr>
              <w:t xml:space="preserve"> contractures.</w:t>
            </w:r>
          </w:p>
          <w:p w14:paraId="28EB024D" w14:textId="77777777" w:rsidR="00374235" w:rsidRPr="00980280" w:rsidRDefault="00374235" w:rsidP="007B489B">
            <w:pPr>
              <w:rPr>
                <w:rFonts w:ascii="Arial" w:hAnsi="Arial" w:cs="Arial"/>
              </w:rPr>
            </w:pPr>
          </w:p>
          <w:p w14:paraId="5AC3FCEB" w14:textId="77777777" w:rsidR="00374235" w:rsidRPr="00980280" w:rsidRDefault="00374235" w:rsidP="007B489B">
            <w:pPr>
              <w:rPr>
                <w:rFonts w:ascii="Arial" w:hAnsi="Arial" w:cs="Arial"/>
              </w:rPr>
            </w:pPr>
            <w:r w:rsidRPr="00980280">
              <w:rPr>
                <w:rFonts w:ascii="Arial" w:hAnsi="Arial" w:cs="Arial"/>
              </w:rPr>
              <w:t>No-one knows which interventions are best for restoring and maintaining hand function throughout the rest of the patient’s life, and which are the cheapest and most cost-effective in the long term. Ongoing and planned National Institute for Health Research studies aim to address these questions.</w:t>
            </w:r>
          </w:p>
        </w:tc>
      </w:tr>
      <w:tr w:rsidR="00374235" w:rsidRPr="00980280" w14:paraId="7DDEC7A5" w14:textId="77777777" w:rsidTr="005B353A">
        <w:trPr>
          <w:trHeight w:val="274"/>
        </w:trPr>
        <w:tc>
          <w:tcPr>
            <w:tcW w:w="9781" w:type="dxa"/>
            <w:shd w:val="clear" w:color="auto" w:fill="16365D"/>
          </w:tcPr>
          <w:p w14:paraId="1742EF30" w14:textId="77777777" w:rsidR="00374235" w:rsidRPr="00980280" w:rsidRDefault="00374235" w:rsidP="007B489B">
            <w:pPr>
              <w:rPr>
                <w:rFonts w:ascii="Arial" w:hAnsi="Arial" w:cs="Arial"/>
              </w:rPr>
            </w:pPr>
            <w:r w:rsidRPr="00980280">
              <w:rPr>
                <w:rFonts w:ascii="Arial" w:hAnsi="Arial" w:cs="Arial"/>
              </w:rPr>
              <w:t>Number of CCG interventions in 2017/18</w:t>
            </w:r>
          </w:p>
        </w:tc>
      </w:tr>
      <w:tr w:rsidR="00374235" w:rsidRPr="00980280" w14:paraId="56D392A3" w14:textId="77777777" w:rsidTr="005B353A">
        <w:trPr>
          <w:trHeight w:val="551"/>
        </w:trPr>
        <w:tc>
          <w:tcPr>
            <w:tcW w:w="9781" w:type="dxa"/>
          </w:tcPr>
          <w:p w14:paraId="669E0285" w14:textId="77777777" w:rsidR="00374235" w:rsidRPr="00980280" w:rsidRDefault="00374235" w:rsidP="007B489B">
            <w:pPr>
              <w:rPr>
                <w:rFonts w:ascii="Arial" w:hAnsi="Arial" w:cs="Arial"/>
              </w:rPr>
            </w:pPr>
            <w:r w:rsidRPr="00980280">
              <w:rPr>
                <w:rFonts w:ascii="Arial" w:hAnsi="Arial" w:cs="Arial"/>
              </w:rPr>
              <w:t>14,376</w:t>
            </w:r>
          </w:p>
        </w:tc>
      </w:tr>
      <w:tr w:rsidR="00374235" w:rsidRPr="00980280" w14:paraId="5158463A" w14:textId="77777777" w:rsidTr="005B353A">
        <w:trPr>
          <w:trHeight w:val="277"/>
        </w:trPr>
        <w:tc>
          <w:tcPr>
            <w:tcW w:w="9781" w:type="dxa"/>
            <w:shd w:val="clear" w:color="auto" w:fill="16365D"/>
          </w:tcPr>
          <w:p w14:paraId="0DAD6DC1" w14:textId="77777777" w:rsidR="00374235" w:rsidRPr="00980280" w:rsidRDefault="00374235" w:rsidP="007B489B">
            <w:pPr>
              <w:rPr>
                <w:rFonts w:ascii="Arial" w:hAnsi="Arial" w:cs="Arial"/>
              </w:rPr>
            </w:pPr>
            <w:r w:rsidRPr="00980280">
              <w:rPr>
                <w:rFonts w:ascii="Arial" w:hAnsi="Arial" w:cs="Arial"/>
              </w:rPr>
              <w:t>Recommendation</w:t>
            </w:r>
          </w:p>
        </w:tc>
      </w:tr>
      <w:tr w:rsidR="00374235" w:rsidRPr="00980280" w14:paraId="51883224" w14:textId="77777777" w:rsidTr="005B353A">
        <w:trPr>
          <w:trHeight w:val="844"/>
        </w:trPr>
        <w:tc>
          <w:tcPr>
            <w:tcW w:w="9781" w:type="dxa"/>
          </w:tcPr>
          <w:p w14:paraId="428AF2FD" w14:textId="77777777" w:rsidR="00374235" w:rsidRDefault="00374235" w:rsidP="007B489B">
            <w:pPr>
              <w:rPr>
                <w:rFonts w:ascii="Arial" w:hAnsi="Arial" w:cs="Arial"/>
              </w:rPr>
            </w:pPr>
            <w:r w:rsidRPr="00980280">
              <w:rPr>
                <w:rFonts w:ascii="Arial" w:hAnsi="Arial" w:cs="Arial"/>
              </w:rPr>
              <w:t>Treatment is not indicated in cases where there is no contracture, and in patients with a mild (less than 20°) contractures, or one which is not progressing and does not impair function.</w:t>
            </w:r>
          </w:p>
          <w:p w14:paraId="6798BE88" w14:textId="77777777" w:rsidR="00980280" w:rsidRDefault="00980280" w:rsidP="007B489B">
            <w:pPr>
              <w:rPr>
                <w:rFonts w:ascii="Arial" w:hAnsi="Arial" w:cs="Arial"/>
              </w:rPr>
            </w:pPr>
          </w:p>
          <w:p w14:paraId="69D25373" w14:textId="77777777" w:rsidR="00980280" w:rsidRDefault="00980280" w:rsidP="007B489B">
            <w:pPr>
              <w:rPr>
                <w:rFonts w:ascii="Arial" w:hAnsi="Arial" w:cs="Arial"/>
              </w:rPr>
            </w:pPr>
          </w:p>
          <w:p w14:paraId="44D86022" w14:textId="77777777" w:rsidR="00980280" w:rsidRDefault="00980280" w:rsidP="007B489B">
            <w:pPr>
              <w:rPr>
                <w:rFonts w:ascii="Arial" w:hAnsi="Arial" w:cs="Arial"/>
              </w:rPr>
            </w:pPr>
          </w:p>
          <w:p w14:paraId="3BECCDC5" w14:textId="77777777" w:rsidR="00980280" w:rsidRDefault="00980280" w:rsidP="007B489B">
            <w:pPr>
              <w:rPr>
                <w:rFonts w:ascii="Arial" w:hAnsi="Arial" w:cs="Arial"/>
              </w:rPr>
            </w:pPr>
          </w:p>
          <w:p w14:paraId="069EDB1B" w14:textId="77777777" w:rsidR="00980280" w:rsidRDefault="00980280" w:rsidP="007B489B">
            <w:pPr>
              <w:rPr>
                <w:rFonts w:ascii="Arial" w:hAnsi="Arial" w:cs="Arial"/>
              </w:rPr>
            </w:pPr>
          </w:p>
          <w:p w14:paraId="17485ACD" w14:textId="77777777" w:rsidR="00980280" w:rsidRPr="00980280" w:rsidRDefault="00980280" w:rsidP="00980280">
            <w:pPr>
              <w:rPr>
                <w:rFonts w:ascii="Arial" w:hAnsi="Arial" w:cs="Arial"/>
              </w:rPr>
            </w:pPr>
            <w:r w:rsidRPr="00980280">
              <w:rPr>
                <w:rFonts w:ascii="Arial" w:hAnsi="Arial" w:cs="Arial"/>
              </w:rPr>
              <w:t>An intervention (collagenase injections, nee</w:t>
            </w:r>
            <w:r>
              <w:rPr>
                <w:rFonts w:ascii="Arial" w:hAnsi="Arial" w:cs="Arial"/>
              </w:rPr>
              <w:t xml:space="preserve">dle fasciotomy, fasciectomy and </w:t>
            </w:r>
            <w:proofErr w:type="spellStart"/>
            <w:r w:rsidRPr="00980280">
              <w:rPr>
                <w:rFonts w:ascii="Arial" w:hAnsi="Arial" w:cs="Arial"/>
              </w:rPr>
              <w:t>dermofasciectomy</w:t>
            </w:r>
            <w:proofErr w:type="spellEnd"/>
            <w:r w:rsidRPr="00980280">
              <w:rPr>
                <w:rFonts w:ascii="Arial" w:hAnsi="Arial" w:cs="Arial"/>
              </w:rPr>
              <w:t>) should be considered for:</w:t>
            </w:r>
          </w:p>
          <w:p w14:paraId="4DD02298" w14:textId="77777777" w:rsidR="00980280" w:rsidRPr="00980280" w:rsidRDefault="00980280" w:rsidP="00980280">
            <w:pPr>
              <w:rPr>
                <w:rFonts w:ascii="Arial" w:hAnsi="Arial" w:cs="Arial"/>
              </w:rPr>
            </w:pPr>
            <w:r w:rsidRPr="00980280">
              <w:rPr>
                <w:rFonts w:ascii="Arial" w:hAnsi="Arial" w:cs="Arial"/>
              </w:rPr>
              <w:t>finger contractures causing loss of finger extension of 30° or more at the metacarpophalangeal joint or 20° at the proximal interphalangeal joint.</w:t>
            </w:r>
          </w:p>
          <w:p w14:paraId="44CBFCEE" w14:textId="77777777" w:rsidR="00980280" w:rsidRPr="00980280" w:rsidRDefault="00980280" w:rsidP="00980280">
            <w:pPr>
              <w:rPr>
                <w:rFonts w:ascii="Arial" w:hAnsi="Arial" w:cs="Arial"/>
              </w:rPr>
            </w:pPr>
            <w:r w:rsidRPr="00980280">
              <w:rPr>
                <w:rFonts w:ascii="Arial" w:hAnsi="Arial" w:cs="Arial"/>
              </w:rPr>
              <w:t>or</w:t>
            </w:r>
          </w:p>
          <w:p w14:paraId="60B31CE3" w14:textId="77777777" w:rsidR="00980280" w:rsidRPr="00980280" w:rsidRDefault="00980280" w:rsidP="00980280">
            <w:pPr>
              <w:rPr>
                <w:rFonts w:ascii="Arial" w:hAnsi="Arial" w:cs="Arial"/>
              </w:rPr>
            </w:pPr>
            <w:r w:rsidRPr="00980280">
              <w:rPr>
                <w:rFonts w:ascii="Arial" w:hAnsi="Arial" w:cs="Arial"/>
              </w:rPr>
              <w:t>severe thumb contractures which interfere with function</w:t>
            </w:r>
          </w:p>
          <w:p w14:paraId="526815EB" w14:textId="77777777" w:rsidR="00980280" w:rsidRPr="00980280" w:rsidRDefault="00980280" w:rsidP="00980280">
            <w:pPr>
              <w:rPr>
                <w:rFonts w:ascii="Arial" w:hAnsi="Arial" w:cs="Arial"/>
              </w:rPr>
            </w:pPr>
          </w:p>
          <w:p w14:paraId="7E1DAFF5" w14:textId="77777777" w:rsidR="00980280" w:rsidRPr="00980280" w:rsidRDefault="00980280" w:rsidP="00980280">
            <w:pPr>
              <w:rPr>
                <w:rFonts w:ascii="Arial" w:hAnsi="Arial" w:cs="Arial"/>
              </w:rPr>
            </w:pPr>
            <w:r w:rsidRPr="00980280">
              <w:rPr>
                <w:rFonts w:ascii="Arial" w:hAnsi="Arial" w:cs="Arial"/>
              </w:rPr>
              <w:t>NICE    concluded     that     collagenase     should     only     be     used     for: a. Participants in the ongoing clinical trial (HTA-15/102/04)</w:t>
            </w:r>
            <w:r w:rsidRPr="00980280">
              <w:rPr>
                <w:rFonts w:ascii="Arial" w:hAnsi="Arial" w:cs="Arial"/>
              </w:rPr>
              <w:tab/>
            </w:r>
          </w:p>
          <w:p w14:paraId="53F4572B" w14:textId="77777777" w:rsidR="00980280" w:rsidRPr="00980280" w:rsidRDefault="00980280" w:rsidP="00980280">
            <w:pPr>
              <w:rPr>
                <w:rFonts w:ascii="Arial" w:hAnsi="Arial" w:cs="Arial"/>
              </w:rPr>
            </w:pPr>
            <w:r w:rsidRPr="00980280">
              <w:rPr>
                <w:rFonts w:ascii="Arial" w:hAnsi="Arial" w:cs="Arial"/>
              </w:rPr>
              <w:t>or</w:t>
            </w:r>
            <w:r w:rsidRPr="00980280">
              <w:rPr>
                <w:rFonts w:ascii="Arial" w:hAnsi="Arial" w:cs="Arial"/>
              </w:rPr>
              <w:tab/>
            </w:r>
          </w:p>
          <w:p w14:paraId="5FC0EE8D" w14:textId="77777777" w:rsidR="00980280" w:rsidRPr="00980280" w:rsidRDefault="00980280" w:rsidP="00980280">
            <w:pPr>
              <w:rPr>
                <w:rFonts w:ascii="Arial" w:hAnsi="Arial" w:cs="Arial"/>
              </w:rPr>
            </w:pPr>
            <w:r w:rsidRPr="00980280">
              <w:rPr>
                <w:rFonts w:ascii="Arial" w:hAnsi="Arial" w:cs="Arial"/>
              </w:rPr>
              <w:t>Adult patients with a palpable cord if:</w:t>
            </w:r>
            <w:r w:rsidRPr="00980280">
              <w:rPr>
                <w:rFonts w:ascii="Arial" w:hAnsi="Arial" w:cs="Arial"/>
              </w:rPr>
              <w:tab/>
            </w:r>
          </w:p>
          <w:p w14:paraId="078C8093" w14:textId="77777777" w:rsidR="00980280" w:rsidRPr="00980280" w:rsidRDefault="00980280" w:rsidP="00980280">
            <w:pPr>
              <w:rPr>
                <w:rFonts w:ascii="Arial" w:hAnsi="Arial" w:cs="Arial"/>
              </w:rPr>
            </w:pPr>
            <w:r w:rsidRPr="00980280">
              <w:rPr>
                <w:rFonts w:ascii="Arial" w:hAnsi="Arial" w:cs="Arial"/>
              </w:rPr>
              <w:t>there is evidence of moderate disease (functional problems and metacarpophalangeal joint contracture of 30° to 60° and proximal interphalangeal joint contracture of less than 30° or first web contracture) plus up to two affected joints;</w:t>
            </w:r>
          </w:p>
          <w:p w14:paraId="342D49B7" w14:textId="77777777" w:rsidR="00980280" w:rsidRPr="00980280" w:rsidRDefault="00980280" w:rsidP="00980280">
            <w:pPr>
              <w:rPr>
                <w:rFonts w:ascii="Arial" w:hAnsi="Arial" w:cs="Arial"/>
              </w:rPr>
            </w:pPr>
            <w:r w:rsidRPr="00980280">
              <w:rPr>
                <w:rFonts w:ascii="Arial" w:hAnsi="Arial" w:cs="Arial"/>
              </w:rPr>
              <w:t>and</w:t>
            </w:r>
            <w:r w:rsidRPr="00980280">
              <w:rPr>
                <w:rFonts w:ascii="Arial" w:hAnsi="Arial" w:cs="Arial"/>
              </w:rPr>
              <w:tab/>
            </w:r>
          </w:p>
          <w:p w14:paraId="4871C1CE" w14:textId="77777777" w:rsidR="00980280" w:rsidRDefault="00980280" w:rsidP="007B489B">
            <w:pPr>
              <w:rPr>
                <w:rFonts w:ascii="Arial" w:hAnsi="Arial" w:cs="Arial"/>
              </w:rPr>
            </w:pPr>
            <w:r w:rsidRPr="00980280">
              <w:rPr>
                <w:rFonts w:ascii="Arial" w:hAnsi="Arial" w:cs="Arial"/>
              </w:rPr>
              <w:t>needle fasciotomy is not considered appropriate, but limited fasciectomy is considered appropriate by the treating hand surgeon</w:t>
            </w:r>
          </w:p>
          <w:p w14:paraId="4F24CAE2" w14:textId="77777777" w:rsidR="00980280" w:rsidRPr="00980280" w:rsidRDefault="00980280" w:rsidP="007B489B">
            <w:pPr>
              <w:rPr>
                <w:rFonts w:ascii="Arial" w:hAnsi="Arial" w:cs="Arial"/>
              </w:rPr>
            </w:pPr>
          </w:p>
        </w:tc>
      </w:tr>
      <w:tr w:rsidR="00374235" w:rsidRPr="00980280" w14:paraId="077E72C9" w14:textId="77777777" w:rsidTr="005B353A">
        <w:trPr>
          <w:trHeight w:val="275"/>
        </w:trPr>
        <w:tc>
          <w:tcPr>
            <w:tcW w:w="9781" w:type="dxa"/>
            <w:shd w:val="clear" w:color="auto" w:fill="16365D"/>
          </w:tcPr>
          <w:p w14:paraId="70F87A73" w14:textId="77777777" w:rsidR="00374235" w:rsidRPr="00980280" w:rsidRDefault="00374235" w:rsidP="007B489B">
            <w:pPr>
              <w:rPr>
                <w:rFonts w:ascii="Arial" w:hAnsi="Arial" w:cs="Arial"/>
              </w:rPr>
            </w:pPr>
            <w:r w:rsidRPr="00980280">
              <w:rPr>
                <w:rFonts w:ascii="Arial" w:hAnsi="Arial" w:cs="Arial"/>
              </w:rPr>
              <w:lastRenderedPageBreak/>
              <w:t>Rationale for recommendation</w:t>
            </w:r>
          </w:p>
        </w:tc>
      </w:tr>
      <w:tr w:rsidR="00374235" w:rsidRPr="00980280" w14:paraId="7B855DB0" w14:textId="77777777" w:rsidTr="005B353A">
        <w:trPr>
          <w:trHeight w:val="2680"/>
        </w:trPr>
        <w:tc>
          <w:tcPr>
            <w:tcW w:w="9781" w:type="dxa"/>
          </w:tcPr>
          <w:p w14:paraId="190636CE" w14:textId="77777777" w:rsidR="00980280" w:rsidRDefault="00980280" w:rsidP="007B489B">
            <w:pPr>
              <w:rPr>
                <w:rFonts w:ascii="Arial" w:hAnsi="Arial" w:cs="Arial"/>
              </w:rPr>
            </w:pPr>
          </w:p>
          <w:p w14:paraId="1E712FA4" w14:textId="77777777" w:rsidR="00374235" w:rsidRPr="00980280" w:rsidRDefault="00374235" w:rsidP="007B489B">
            <w:pPr>
              <w:rPr>
                <w:rFonts w:ascii="Arial" w:hAnsi="Arial" w:cs="Arial"/>
              </w:rPr>
            </w:pPr>
            <w:r w:rsidRPr="00980280">
              <w:rPr>
                <w:rFonts w:ascii="Arial" w:hAnsi="Arial" w:cs="Arial"/>
              </w:rPr>
              <w:t xml:space="preserve">Contractures left untreated usually progress and often fail </w:t>
            </w:r>
            <w:proofErr w:type="gramStart"/>
            <w:r w:rsidRPr="00980280">
              <w:rPr>
                <w:rFonts w:ascii="Arial" w:hAnsi="Arial" w:cs="Arial"/>
              </w:rPr>
              <w:t>to  straighten</w:t>
            </w:r>
            <w:proofErr w:type="gramEnd"/>
            <w:r w:rsidRPr="00980280">
              <w:rPr>
                <w:rFonts w:ascii="Arial" w:hAnsi="Arial" w:cs="Arial"/>
              </w:rPr>
              <w:t xml:space="preserve">  fully  with any treatment if allowed to progress too  far.  Complications  causing  loss,  rather than improvement, in hand function occur more  commonly  after  larger interventions, but larger interventions carry a lower risk of need for further surgery.</w:t>
            </w:r>
          </w:p>
          <w:p w14:paraId="773D5FE5" w14:textId="77777777" w:rsidR="00374235" w:rsidRPr="00980280" w:rsidRDefault="00374235" w:rsidP="007B489B">
            <w:pPr>
              <w:rPr>
                <w:rFonts w:ascii="Arial" w:hAnsi="Arial" w:cs="Arial"/>
              </w:rPr>
            </w:pPr>
          </w:p>
          <w:p w14:paraId="0894D2AD" w14:textId="77777777" w:rsidR="00374235" w:rsidRPr="00980280" w:rsidRDefault="00374235" w:rsidP="007B489B">
            <w:pPr>
              <w:rPr>
                <w:rFonts w:ascii="Arial" w:hAnsi="Arial" w:cs="Arial"/>
              </w:rPr>
            </w:pPr>
            <w:r w:rsidRPr="00980280">
              <w:rPr>
                <w:rFonts w:ascii="Arial" w:hAnsi="Arial" w:cs="Arial"/>
              </w:rPr>
              <w:t xml:space="preserve">Common complications after collagenase injection are normally transient and include skin breaks and </w:t>
            </w:r>
            <w:proofErr w:type="spellStart"/>
            <w:r w:rsidRPr="00980280">
              <w:rPr>
                <w:rFonts w:ascii="Arial" w:hAnsi="Arial" w:cs="Arial"/>
              </w:rPr>
              <w:t>localised</w:t>
            </w:r>
            <w:proofErr w:type="spellEnd"/>
            <w:r w:rsidRPr="00980280">
              <w:rPr>
                <w:rFonts w:ascii="Arial" w:hAnsi="Arial" w:cs="Arial"/>
              </w:rPr>
              <w:t xml:space="preserve"> pain. Tendon injury is possible but very rare. Significant complications with lasting impact after needle fasciotomy are very unusual (about 1%) and include nerve injury.  Such complications </w:t>
            </w:r>
            <w:proofErr w:type="gramStart"/>
            <w:r w:rsidRPr="00980280">
              <w:rPr>
                <w:rFonts w:ascii="Arial" w:hAnsi="Arial" w:cs="Arial"/>
              </w:rPr>
              <w:t>after  fasciectomy</w:t>
            </w:r>
            <w:proofErr w:type="gramEnd"/>
            <w:r w:rsidRPr="00980280">
              <w:rPr>
                <w:rFonts w:ascii="Arial" w:hAnsi="Arial" w:cs="Arial"/>
              </w:rPr>
              <w:t xml:space="preserve"> are more common (about 4%) and include infection, numbness and stiffness.</w:t>
            </w:r>
          </w:p>
          <w:p w14:paraId="5062DB56" w14:textId="77777777" w:rsidR="00374235" w:rsidRPr="00980280" w:rsidRDefault="00374235" w:rsidP="00980280">
            <w:pPr>
              <w:rPr>
                <w:rFonts w:ascii="Arial" w:hAnsi="Arial" w:cs="Arial"/>
              </w:rPr>
            </w:pPr>
          </w:p>
        </w:tc>
      </w:tr>
      <w:tr w:rsidR="00980280" w:rsidRPr="00980280" w14:paraId="21F6FEBF" w14:textId="77777777" w:rsidTr="005B353A">
        <w:trPr>
          <w:trHeight w:val="690"/>
        </w:trPr>
        <w:tc>
          <w:tcPr>
            <w:tcW w:w="9781" w:type="dxa"/>
            <w:shd w:val="clear" w:color="auto" w:fill="244061" w:themeFill="accent1" w:themeFillShade="80"/>
          </w:tcPr>
          <w:p w14:paraId="466814E9" w14:textId="77777777" w:rsidR="00980280" w:rsidRPr="00980280" w:rsidRDefault="00980280" w:rsidP="007B489B">
            <w:pPr>
              <w:rPr>
                <w:rFonts w:ascii="Arial" w:hAnsi="Arial" w:cs="Arial"/>
              </w:rPr>
            </w:pPr>
            <w:r w:rsidRPr="00980280">
              <w:rPr>
                <w:rFonts w:ascii="Arial" w:hAnsi="Arial" w:cs="Arial"/>
              </w:rPr>
              <w:t>Reference</w:t>
            </w:r>
            <w:r>
              <w:rPr>
                <w:rFonts w:ascii="Arial" w:hAnsi="Arial" w:cs="Arial"/>
              </w:rPr>
              <w:t>s</w:t>
            </w:r>
          </w:p>
        </w:tc>
      </w:tr>
      <w:tr w:rsidR="00980280" w:rsidRPr="00980280" w14:paraId="71EB2BE4" w14:textId="77777777" w:rsidTr="005B353A">
        <w:trPr>
          <w:trHeight w:val="1266"/>
        </w:trPr>
        <w:tc>
          <w:tcPr>
            <w:tcW w:w="9781" w:type="dxa"/>
          </w:tcPr>
          <w:p w14:paraId="1B979F89" w14:textId="77777777" w:rsidR="00980280" w:rsidRDefault="00980280" w:rsidP="00980280">
            <w:pPr>
              <w:rPr>
                <w:rFonts w:ascii="Arial" w:hAnsi="Arial" w:cs="Arial"/>
              </w:rPr>
            </w:pPr>
          </w:p>
          <w:p w14:paraId="22CFFC73" w14:textId="77777777" w:rsidR="00980280" w:rsidRPr="00980280" w:rsidRDefault="007B1649" w:rsidP="00980280">
            <w:pPr>
              <w:rPr>
                <w:rFonts w:ascii="Arial" w:hAnsi="Arial" w:cs="Arial"/>
              </w:rPr>
            </w:pPr>
            <w:hyperlink r:id="rId8">
              <w:r w:rsidR="00980280" w:rsidRPr="00980280">
                <w:rPr>
                  <w:rStyle w:val="Hyperlink"/>
                  <w:rFonts w:ascii="Arial" w:hAnsi="Arial" w:cs="Arial"/>
                </w:rPr>
                <w:t>http://www.bssh.ac.uk/_userfiles/pages/files/Patients/Conditions/Elective/d</w:t>
              </w:r>
            </w:hyperlink>
            <w:r w:rsidR="00980280" w:rsidRPr="00980280">
              <w:rPr>
                <w:rFonts w:ascii="Arial" w:hAnsi="Arial" w:cs="Arial"/>
              </w:rPr>
              <w:t xml:space="preserve"> upuytrens_disease_leaflet_2016.pdf</w:t>
            </w:r>
          </w:p>
          <w:p w14:paraId="20148BAA" w14:textId="77777777" w:rsidR="00980280" w:rsidRPr="00980280" w:rsidRDefault="00980280" w:rsidP="00980280">
            <w:pPr>
              <w:rPr>
                <w:rFonts w:ascii="Arial" w:hAnsi="Arial" w:cs="Arial"/>
              </w:rPr>
            </w:pPr>
            <w:r w:rsidRPr="00980280">
              <w:rPr>
                <w:rFonts w:ascii="Arial" w:hAnsi="Arial" w:cs="Arial"/>
              </w:rPr>
              <w:t>https://cks.nice.org.uk/dupuytrens-disease</w:t>
            </w:r>
          </w:p>
          <w:p w14:paraId="4F3EC1F6" w14:textId="77777777" w:rsidR="00980280" w:rsidRPr="00980280" w:rsidRDefault="00980280" w:rsidP="00980280">
            <w:pPr>
              <w:rPr>
                <w:rFonts w:ascii="Arial" w:hAnsi="Arial" w:cs="Arial"/>
              </w:rPr>
            </w:pPr>
            <w:proofErr w:type="spellStart"/>
            <w:r w:rsidRPr="00980280">
              <w:rPr>
                <w:rFonts w:ascii="Arial" w:hAnsi="Arial" w:cs="Arial"/>
              </w:rPr>
              <w:t>Crean</w:t>
            </w:r>
            <w:proofErr w:type="spellEnd"/>
            <w:r w:rsidRPr="00980280">
              <w:rPr>
                <w:rFonts w:ascii="Arial" w:hAnsi="Arial" w:cs="Arial"/>
              </w:rPr>
              <w:t xml:space="preserve"> SM, Gerber RA, Le </w:t>
            </w:r>
            <w:proofErr w:type="spellStart"/>
            <w:r w:rsidRPr="00980280">
              <w:rPr>
                <w:rFonts w:ascii="Arial" w:hAnsi="Arial" w:cs="Arial"/>
              </w:rPr>
              <w:t>Graverand</w:t>
            </w:r>
            <w:proofErr w:type="spellEnd"/>
            <w:r w:rsidRPr="00980280">
              <w:rPr>
                <w:rFonts w:ascii="Arial" w:hAnsi="Arial" w:cs="Arial"/>
              </w:rPr>
              <w:t xml:space="preserve"> MP, Boyd DM, </w:t>
            </w:r>
            <w:proofErr w:type="spellStart"/>
            <w:r w:rsidRPr="00980280">
              <w:rPr>
                <w:rFonts w:ascii="Arial" w:hAnsi="Arial" w:cs="Arial"/>
              </w:rPr>
              <w:t>Cappelleri</w:t>
            </w:r>
            <w:proofErr w:type="spellEnd"/>
            <w:r w:rsidRPr="00980280">
              <w:rPr>
                <w:rFonts w:ascii="Arial" w:hAnsi="Arial" w:cs="Arial"/>
              </w:rPr>
              <w:t xml:space="preserve"> JC. The efficacy and safety of fasciectomy and fasciotomy for </w:t>
            </w:r>
            <w:proofErr w:type="spellStart"/>
            <w:r w:rsidRPr="00980280">
              <w:rPr>
                <w:rFonts w:ascii="Arial" w:hAnsi="Arial" w:cs="Arial"/>
              </w:rPr>
              <w:t>Dupuytren's</w:t>
            </w:r>
            <w:proofErr w:type="spellEnd"/>
            <w:r w:rsidRPr="00980280">
              <w:rPr>
                <w:rFonts w:ascii="Arial" w:hAnsi="Arial" w:cs="Arial"/>
              </w:rPr>
              <w:t xml:space="preserve"> contracture in European patients: a structured review of published studies. J Hand Surg </w:t>
            </w:r>
            <w:proofErr w:type="spellStart"/>
            <w:r w:rsidRPr="00980280">
              <w:rPr>
                <w:rFonts w:ascii="Arial" w:hAnsi="Arial" w:cs="Arial"/>
              </w:rPr>
              <w:t>Eur</w:t>
            </w:r>
            <w:proofErr w:type="spellEnd"/>
            <w:r w:rsidRPr="00980280">
              <w:rPr>
                <w:rFonts w:ascii="Arial" w:hAnsi="Arial" w:cs="Arial"/>
              </w:rPr>
              <w:t xml:space="preserve"> Vol. 2011;36(5):396-407.</w:t>
            </w:r>
          </w:p>
          <w:p w14:paraId="35A3E5F7" w14:textId="77777777" w:rsidR="00980280" w:rsidRPr="00980280" w:rsidRDefault="00980280" w:rsidP="00980280">
            <w:pPr>
              <w:rPr>
                <w:rFonts w:ascii="Arial" w:hAnsi="Arial" w:cs="Arial"/>
              </w:rPr>
            </w:pPr>
            <w:proofErr w:type="spellStart"/>
            <w:r w:rsidRPr="00980280">
              <w:rPr>
                <w:rFonts w:ascii="Arial" w:hAnsi="Arial" w:cs="Arial"/>
              </w:rPr>
              <w:t>Krefter</w:t>
            </w:r>
            <w:proofErr w:type="spellEnd"/>
            <w:r w:rsidRPr="00980280">
              <w:rPr>
                <w:rFonts w:ascii="Arial" w:hAnsi="Arial" w:cs="Arial"/>
              </w:rPr>
              <w:t xml:space="preserve"> C, Marks M, </w:t>
            </w:r>
            <w:proofErr w:type="spellStart"/>
            <w:r w:rsidRPr="00980280">
              <w:rPr>
                <w:rFonts w:ascii="Arial" w:hAnsi="Arial" w:cs="Arial"/>
              </w:rPr>
              <w:t>Hensler</w:t>
            </w:r>
            <w:proofErr w:type="spellEnd"/>
            <w:r w:rsidRPr="00980280">
              <w:rPr>
                <w:rFonts w:ascii="Arial" w:hAnsi="Arial" w:cs="Arial"/>
              </w:rPr>
              <w:t xml:space="preserve"> S, Herren DB, </w:t>
            </w:r>
            <w:proofErr w:type="spellStart"/>
            <w:r w:rsidRPr="00980280">
              <w:rPr>
                <w:rFonts w:ascii="Arial" w:hAnsi="Arial" w:cs="Arial"/>
              </w:rPr>
              <w:t>Calcagni</w:t>
            </w:r>
            <w:proofErr w:type="spellEnd"/>
            <w:r w:rsidRPr="00980280">
              <w:rPr>
                <w:rFonts w:ascii="Arial" w:hAnsi="Arial" w:cs="Arial"/>
              </w:rPr>
              <w:t xml:space="preserve"> M. Complications after treating </w:t>
            </w:r>
            <w:proofErr w:type="spellStart"/>
            <w:r w:rsidRPr="00980280">
              <w:rPr>
                <w:rFonts w:ascii="Arial" w:hAnsi="Arial" w:cs="Arial"/>
              </w:rPr>
              <w:t>dupuytren's</w:t>
            </w:r>
            <w:proofErr w:type="spellEnd"/>
            <w:r w:rsidRPr="00980280">
              <w:rPr>
                <w:rFonts w:ascii="Arial" w:hAnsi="Arial" w:cs="Arial"/>
              </w:rPr>
              <w:t xml:space="preserve"> disease.  </w:t>
            </w:r>
            <w:proofErr w:type="gramStart"/>
            <w:r w:rsidRPr="00980280">
              <w:rPr>
                <w:rFonts w:ascii="Arial" w:hAnsi="Arial" w:cs="Arial"/>
              </w:rPr>
              <w:t>A  systematic</w:t>
            </w:r>
            <w:proofErr w:type="gramEnd"/>
            <w:r w:rsidRPr="00980280">
              <w:rPr>
                <w:rFonts w:ascii="Arial" w:hAnsi="Arial" w:cs="Arial"/>
              </w:rPr>
              <w:t xml:space="preserve">  literature  review.  </w:t>
            </w:r>
            <w:proofErr w:type="gramStart"/>
            <w:r w:rsidRPr="00980280">
              <w:rPr>
                <w:rFonts w:ascii="Arial" w:hAnsi="Arial" w:cs="Arial"/>
              </w:rPr>
              <w:t>Hand  surgery</w:t>
            </w:r>
            <w:proofErr w:type="gramEnd"/>
            <w:r w:rsidRPr="00980280">
              <w:rPr>
                <w:rFonts w:ascii="Arial" w:hAnsi="Arial" w:cs="Arial"/>
              </w:rPr>
              <w:t xml:space="preserve"> &amp; rehabilitation. 2017, 36: 322-9.</w:t>
            </w:r>
          </w:p>
          <w:p w14:paraId="6BBA0846" w14:textId="77777777" w:rsidR="00980280" w:rsidRPr="00980280" w:rsidRDefault="00980280" w:rsidP="00980280">
            <w:pPr>
              <w:rPr>
                <w:rFonts w:ascii="Arial" w:hAnsi="Arial" w:cs="Arial"/>
              </w:rPr>
            </w:pPr>
            <w:r w:rsidRPr="00980280">
              <w:rPr>
                <w:rFonts w:ascii="Arial" w:hAnsi="Arial" w:cs="Arial"/>
              </w:rPr>
              <w:t xml:space="preserve">NICE 2004. Needle fasciotomy for </w:t>
            </w:r>
            <w:proofErr w:type="spellStart"/>
            <w:r w:rsidRPr="00980280">
              <w:rPr>
                <w:rFonts w:ascii="Arial" w:hAnsi="Arial" w:cs="Arial"/>
              </w:rPr>
              <w:t>Dupuytren's</w:t>
            </w:r>
            <w:proofErr w:type="spellEnd"/>
            <w:r w:rsidRPr="00980280">
              <w:rPr>
                <w:rFonts w:ascii="Arial" w:hAnsi="Arial" w:cs="Arial"/>
              </w:rPr>
              <w:t xml:space="preserve"> contracture. https://</w:t>
            </w:r>
            <w:hyperlink r:id="rId9">
              <w:r w:rsidRPr="00980280">
                <w:rPr>
                  <w:rStyle w:val="Hyperlink"/>
                  <w:rFonts w:ascii="Arial" w:hAnsi="Arial" w:cs="Arial"/>
                </w:rPr>
                <w:t>www.nice.org.uk/guidance/ipg43</w:t>
              </w:r>
            </w:hyperlink>
          </w:p>
          <w:p w14:paraId="5ADC5393" w14:textId="77777777" w:rsidR="00980280" w:rsidRDefault="00980280" w:rsidP="00980280">
            <w:pPr>
              <w:rPr>
                <w:rStyle w:val="Hyperlink"/>
                <w:rFonts w:ascii="Arial" w:hAnsi="Arial" w:cs="Arial"/>
              </w:rPr>
            </w:pPr>
            <w:r w:rsidRPr="00980280">
              <w:rPr>
                <w:rFonts w:ascii="Arial" w:hAnsi="Arial" w:cs="Arial"/>
              </w:rPr>
              <w:t xml:space="preserve">NICE, 2017. Collagenase clostridium histolyticum for treating </w:t>
            </w:r>
            <w:proofErr w:type="spellStart"/>
            <w:r w:rsidRPr="00980280">
              <w:rPr>
                <w:rFonts w:ascii="Arial" w:hAnsi="Arial" w:cs="Arial"/>
              </w:rPr>
              <w:t>Dupuytren's</w:t>
            </w:r>
            <w:proofErr w:type="spellEnd"/>
            <w:r w:rsidRPr="00980280">
              <w:rPr>
                <w:rFonts w:ascii="Arial" w:hAnsi="Arial" w:cs="Arial"/>
              </w:rPr>
              <w:t xml:space="preserve"> contracture. : https://</w:t>
            </w:r>
            <w:hyperlink r:id="rId10">
              <w:r w:rsidRPr="00980280">
                <w:rPr>
                  <w:rStyle w:val="Hyperlink"/>
                  <w:rFonts w:ascii="Arial" w:hAnsi="Arial" w:cs="Arial"/>
                </w:rPr>
                <w:t>www.nice.org.uk/guidance/ta459,</w:t>
              </w:r>
            </w:hyperlink>
          </w:p>
          <w:p w14:paraId="517F08D7" w14:textId="77777777" w:rsidR="00980280" w:rsidRPr="00980280" w:rsidRDefault="00980280" w:rsidP="00980280">
            <w:pPr>
              <w:rPr>
                <w:rFonts w:ascii="Arial" w:hAnsi="Arial" w:cs="Arial"/>
              </w:rPr>
            </w:pPr>
            <w:r w:rsidRPr="00980280">
              <w:rPr>
                <w:rFonts w:ascii="Arial" w:hAnsi="Arial" w:cs="Arial"/>
              </w:rPr>
              <w:t xml:space="preserve">Rodrigues JN, Becker GW, Ball C, Zhang W, </w:t>
            </w:r>
            <w:proofErr w:type="spellStart"/>
            <w:r w:rsidRPr="00980280">
              <w:rPr>
                <w:rFonts w:ascii="Arial" w:hAnsi="Arial" w:cs="Arial"/>
              </w:rPr>
              <w:t>Giele</w:t>
            </w:r>
            <w:proofErr w:type="spellEnd"/>
            <w:r w:rsidRPr="00980280">
              <w:rPr>
                <w:rFonts w:ascii="Arial" w:hAnsi="Arial" w:cs="Arial"/>
              </w:rPr>
              <w:t xml:space="preserve"> H, Hobby J, et al. Surgery for </w:t>
            </w:r>
            <w:proofErr w:type="spellStart"/>
            <w:r w:rsidRPr="00980280">
              <w:rPr>
                <w:rFonts w:ascii="Arial" w:hAnsi="Arial" w:cs="Arial"/>
              </w:rPr>
              <w:t>Dupuytren's</w:t>
            </w:r>
            <w:proofErr w:type="spellEnd"/>
            <w:r w:rsidRPr="00980280">
              <w:rPr>
                <w:rFonts w:ascii="Arial" w:hAnsi="Arial" w:cs="Arial"/>
              </w:rPr>
              <w:t xml:space="preserve"> contracture of the fingers. Cochrane Database Syst Rev. 2015(12):CD010143.</w:t>
            </w:r>
          </w:p>
          <w:p w14:paraId="1183032A" w14:textId="77777777" w:rsidR="00980280" w:rsidRPr="00980280" w:rsidRDefault="00980280" w:rsidP="00980280">
            <w:pPr>
              <w:rPr>
                <w:rFonts w:ascii="Arial" w:hAnsi="Arial" w:cs="Arial"/>
              </w:rPr>
            </w:pPr>
            <w:proofErr w:type="spellStart"/>
            <w:r w:rsidRPr="00980280">
              <w:rPr>
                <w:rFonts w:ascii="Arial" w:hAnsi="Arial" w:cs="Arial"/>
              </w:rPr>
              <w:lastRenderedPageBreak/>
              <w:t>Scherman</w:t>
            </w:r>
            <w:proofErr w:type="spellEnd"/>
            <w:r w:rsidRPr="00980280">
              <w:rPr>
                <w:rFonts w:ascii="Arial" w:hAnsi="Arial" w:cs="Arial"/>
              </w:rPr>
              <w:t xml:space="preserve"> P, </w:t>
            </w:r>
            <w:proofErr w:type="spellStart"/>
            <w:r w:rsidRPr="00980280">
              <w:rPr>
                <w:rFonts w:ascii="Arial" w:hAnsi="Arial" w:cs="Arial"/>
              </w:rPr>
              <w:t>Jenmalm</w:t>
            </w:r>
            <w:proofErr w:type="spellEnd"/>
            <w:r w:rsidRPr="00980280">
              <w:rPr>
                <w:rFonts w:ascii="Arial" w:hAnsi="Arial" w:cs="Arial"/>
              </w:rPr>
              <w:t xml:space="preserve"> P, Dahlin LB. Three-year recurrence of </w:t>
            </w:r>
            <w:proofErr w:type="spellStart"/>
            <w:r w:rsidRPr="00980280">
              <w:rPr>
                <w:rFonts w:ascii="Arial" w:hAnsi="Arial" w:cs="Arial"/>
              </w:rPr>
              <w:t>Dupuytren's</w:t>
            </w:r>
            <w:proofErr w:type="spellEnd"/>
            <w:r w:rsidRPr="00980280">
              <w:rPr>
                <w:rFonts w:ascii="Arial" w:hAnsi="Arial" w:cs="Arial"/>
              </w:rPr>
              <w:t xml:space="preserve"> contracture after needle fasciotomy and collagenase injection: a two-</w:t>
            </w:r>
            <w:proofErr w:type="spellStart"/>
            <w:r w:rsidRPr="00980280">
              <w:rPr>
                <w:rFonts w:ascii="Arial" w:hAnsi="Arial" w:cs="Arial"/>
              </w:rPr>
              <w:t>centre</w:t>
            </w:r>
            <w:proofErr w:type="spellEnd"/>
            <w:r w:rsidRPr="00980280">
              <w:rPr>
                <w:rFonts w:ascii="Arial" w:hAnsi="Arial" w:cs="Arial"/>
              </w:rPr>
              <w:t xml:space="preserve"> randomized controlled trial. J Hand Surg </w:t>
            </w:r>
            <w:proofErr w:type="spellStart"/>
            <w:r w:rsidRPr="00980280">
              <w:rPr>
                <w:rFonts w:ascii="Arial" w:hAnsi="Arial" w:cs="Arial"/>
              </w:rPr>
              <w:t>Eur</w:t>
            </w:r>
            <w:proofErr w:type="spellEnd"/>
            <w:r w:rsidRPr="00980280">
              <w:rPr>
                <w:rFonts w:ascii="Arial" w:hAnsi="Arial" w:cs="Arial"/>
              </w:rPr>
              <w:t xml:space="preserve"> Vol. 2018;43(8):836-40.</w:t>
            </w:r>
          </w:p>
          <w:p w14:paraId="6A1D1AAD" w14:textId="77777777" w:rsidR="00980280" w:rsidRDefault="00980280" w:rsidP="00980280">
            <w:pPr>
              <w:rPr>
                <w:rFonts w:ascii="Arial" w:hAnsi="Arial" w:cs="Arial"/>
              </w:rPr>
            </w:pPr>
          </w:p>
          <w:p w14:paraId="7995566E" w14:textId="77777777" w:rsidR="00980280" w:rsidRPr="00980280" w:rsidRDefault="00980280" w:rsidP="00980280">
            <w:pPr>
              <w:rPr>
                <w:rFonts w:ascii="Arial" w:hAnsi="Arial" w:cs="Arial"/>
              </w:rPr>
            </w:pPr>
            <w:proofErr w:type="spellStart"/>
            <w:r w:rsidRPr="00980280">
              <w:rPr>
                <w:rFonts w:ascii="Arial" w:hAnsi="Arial" w:cs="Arial"/>
              </w:rPr>
              <w:t>Skov</w:t>
            </w:r>
            <w:proofErr w:type="spellEnd"/>
            <w:r w:rsidRPr="00980280">
              <w:rPr>
                <w:rFonts w:ascii="Arial" w:hAnsi="Arial" w:cs="Arial"/>
              </w:rPr>
              <w:t xml:space="preserve"> ST, Bisgaard T, </w:t>
            </w:r>
            <w:proofErr w:type="spellStart"/>
            <w:r w:rsidRPr="00980280">
              <w:rPr>
                <w:rFonts w:ascii="Arial" w:hAnsi="Arial" w:cs="Arial"/>
              </w:rPr>
              <w:t>Sondergaard</w:t>
            </w:r>
            <w:proofErr w:type="spellEnd"/>
            <w:r w:rsidRPr="00980280">
              <w:rPr>
                <w:rFonts w:ascii="Arial" w:hAnsi="Arial" w:cs="Arial"/>
              </w:rPr>
              <w:t xml:space="preserve"> P, Lange J. Injectable Collagenase Versus Percutaneous Needle Fasciotomy for </w:t>
            </w:r>
            <w:proofErr w:type="spellStart"/>
            <w:r w:rsidRPr="00980280">
              <w:rPr>
                <w:rFonts w:ascii="Arial" w:hAnsi="Arial" w:cs="Arial"/>
              </w:rPr>
              <w:t>Dupuytren</w:t>
            </w:r>
            <w:proofErr w:type="spellEnd"/>
            <w:r w:rsidRPr="00980280">
              <w:rPr>
                <w:rFonts w:ascii="Arial" w:hAnsi="Arial" w:cs="Arial"/>
              </w:rPr>
              <w:t xml:space="preserve"> Contracture in Proximal Interphalangeal Joints: A Randomized Controlled Trial. J Hand Surg Am. 2017;42(5):321-8 e3.</w:t>
            </w:r>
          </w:p>
          <w:p w14:paraId="7121B644" w14:textId="77777777" w:rsidR="00980280" w:rsidRPr="00980280" w:rsidRDefault="00980280" w:rsidP="00980280">
            <w:pPr>
              <w:rPr>
                <w:rFonts w:ascii="Arial" w:hAnsi="Arial" w:cs="Arial"/>
              </w:rPr>
            </w:pPr>
            <w:r w:rsidRPr="00980280">
              <w:rPr>
                <w:rFonts w:ascii="Arial" w:hAnsi="Arial" w:cs="Arial"/>
              </w:rPr>
              <w:t xml:space="preserve">Stromberg J, Ibsen Sorensen A, </w:t>
            </w:r>
            <w:proofErr w:type="spellStart"/>
            <w:r w:rsidRPr="00980280">
              <w:rPr>
                <w:rFonts w:ascii="Arial" w:hAnsi="Arial" w:cs="Arial"/>
              </w:rPr>
              <w:t>Friden</w:t>
            </w:r>
            <w:proofErr w:type="spellEnd"/>
            <w:r w:rsidRPr="00980280">
              <w:rPr>
                <w:rFonts w:ascii="Arial" w:hAnsi="Arial" w:cs="Arial"/>
              </w:rPr>
              <w:t xml:space="preserve"> J. </w:t>
            </w:r>
            <w:proofErr w:type="gramStart"/>
            <w:r w:rsidRPr="00980280">
              <w:rPr>
                <w:rFonts w:ascii="Arial" w:hAnsi="Arial" w:cs="Arial"/>
              </w:rPr>
              <w:t>Percutaneous  Needle</w:t>
            </w:r>
            <w:proofErr w:type="gramEnd"/>
            <w:r w:rsidRPr="00980280">
              <w:rPr>
                <w:rFonts w:ascii="Arial" w:hAnsi="Arial" w:cs="Arial"/>
              </w:rPr>
              <w:t xml:space="preserve">  Fasciotomy Versus Collagenase Treatment for </w:t>
            </w:r>
            <w:proofErr w:type="spellStart"/>
            <w:r w:rsidRPr="00980280">
              <w:rPr>
                <w:rFonts w:ascii="Arial" w:hAnsi="Arial" w:cs="Arial"/>
              </w:rPr>
              <w:t>Dupuytren</w:t>
            </w:r>
            <w:proofErr w:type="spellEnd"/>
            <w:r w:rsidRPr="00980280">
              <w:rPr>
                <w:rFonts w:ascii="Arial" w:hAnsi="Arial" w:cs="Arial"/>
              </w:rPr>
              <w:t xml:space="preserve"> Contracture: A Randomized Controlled Trial with a Two-Year Follow-up. J Bone Joint Surg Am. 2018;100(13):1079-86.</w:t>
            </w:r>
          </w:p>
          <w:p w14:paraId="355A35BB" w14:textId="77777777" w:rsidR="00980280" w:rsidRPr="00980280" w:rsidRDefault="00980280" w:rsidP="00980280">
            <w:pPr>
              <w:rPr>
                <w:rFonts w:ascii="Arial" w:hAnsi="Arial" w:cs="Arial"/>
              </w:rPr>
            </w:pPr>
            <w:r w:rsidRPr="00980280">
              <w:rPr>
                <w:rFonts w:ascii="Arial" w:hAnsi="Arial" w:cs="Arial"/>
              </w:rPr>
              <w:t xml:space="preserve">van </w:t>
            </w:r>
            <w:proofErr w:type="spellStart"/>
            <w:r w:rsidRPr="00980280">
              <w:rPr>
                <w:rFonts w:ascii="Arial" w:hAnsi="Arial" w:cs="Arial"/>
              </w:rPr>
              <w:t>Rijssen</w:t>
            </w:r>
            <w:proofErr w:type="spellEnd"/>
            <w:r w:rsidRPr="00980280">
              <w:rPr>
                <w:rFonts w:ascii="Arial" w:hAnsi="Arial" w:cs="Arial"/>
              </w:rPr>
              <w:t xml:space="preserve"> AL, </w:t>
            </w:r>
            <w:proofErr w:type="spellStart"/>
            <w:r w:rsidRPr="00980280">
              <w:rPr>
                <w:rFonts w:ascii="Arial" w:hAnsi="Arial" w:cs="Arial"/>
              </w:rPr>
              <w:t>Gerbrandy</w:t>
            </w:r>
            <w:proofErr w:type="spellEnd"/>
            <w:r w:rsidRPr="00980280">
              <w:rPr>
                <w:rFonts w:ascii="Arial" w:hAnsi="Arial" w:cs="Arial"/>
              </w:rPr>
              <w:t xml:space="preserve"> FS, Ter Linden H, </w:t>
            </w:r>
            <w:proofErr w:type="spellStart"/>
            <w:r w:rsidRPr="00980280">
              <w:rPr>
                <w:rFonts w:ascii="Arial" w:hAnsi="Arial" w:cs="Arial"/>
              </w:rPr>
              <w:t>Klip</w:t>
            </w:r>
            <w:proofErr w:type="spellEnd"/>
            <w:r w:rsidRPr="00980280">
              <w:rPr>
                <w:rFonts w:ascii="Arial" w:hAnsi="Arial" w:cs="Arial"/>
              </w:rPr>
              <w:t xml:space="preserve"> H, </w:t>
            </w:r>
            <w:proofErr w:type="spellStart"/>
            <w:r w:rsidRPr="00980280">
              <w:rPr>
                <w:rFonts w:ascii="Arial" w:hAnsi="Arial" w:cs="Arial"/>
              </w:rPr>
              <w:t>Werker</w:t>
            </w:r>
            <w:proofErr w:type="spellEnd"/>
            <w:r w:rsidRPr="00980280">
              <w:rPr>
                <w:rFonts w:ascii="Arial" w:hAnsi="Arial" w:cs="Arial"/>
              </w:rPr>
              <w:t xml:space="preserve"> PM. A comparison of the direct outcomes of percutaneous needle fasciotomy and limited fasciectomy for </w:t>
            </w:r>
            <w:proofErr w:type="spellStart"/>
            <w:r w:rsidRPr="00980280">
              <w:rPr>
                <w:rFonts w:ascii="Arial" w:hAnsi="Arial" w:cs="Arial"/>
              </w:rPr>
              <w:t>Dupuytren's</w:t>
            </w:r>
            <w:proofErr w:type="spellEnd"/>
            <w:r w:rsidRPr="00980280">
              <w:rPr>
                <w:rFonts w:ascii="Arial" w:hAnsi="Arial" w:cs="Arial"/>
              </w:rPr>
              <w:t xml:space="preserve"> disease: A 6-week follow-up study. J Hand Surg Am. 2006, 31: 717-25.</w:t>
            </w:r>
          </w:p>
          <w:p w14:paraId="60CC177B" w14:textId="77777777" w:rsidR="00980280" w:rsidRDefault="00980280" w:rsidP="00980280">
            <w:pPr>
              <w:rPr>
                <w:rFonts w:ascii="Arial" w:hAnsi="Arial" w:cs="Arial"/>
              </w:rPr>
            </w:pPr>
            <w:r w:rsidRPr="00980280">
              <w:rPr>
                <w:rFonts w:ascii="Arial" w:hAnsi="Arial" w:cs="Arial"/>
              </w:rPr>
              <w:t xml:space="preserve">van </w:t>
            </w:r>
            <w:proofErr w:type="spellStart"/>
            <w:r w:rsidRPr="00980280">
              <w:rPr>
                <w:rFonts w:ascii="Arial" w:hAnsi="Arial" w:cs="Arial"/>
              </w:rPr>
              <w:t>Rijssen</w:t>
            </w:r>
            <w:proofErr w:type="spellEnd"/>
            <w:r w:rsidRPr="00980280">
              <w:rPr>
                <w:rFonts w:ascii="Arial" w:hAnsi="Arial" w:cs="Arial"/>
              </w:rPr>
              <w:t xml:space="preserve"> AL, </w:t>
            </w:r>
            <w:proofErr w:type="spellStart"/>
            <w:r w:rsidRPr="00980280">
              <w:rPr>
                <w:rFonts w:ascii="Arial" w:hAnsi="Arial" w:cs="Arial"/>
              </w:rPr>
              <w:t>ter</w:t>
            </w:r>
            <w:proofErr w:type="spellEnd"/>
            <w:r w:rsidRPr="00980280">
              <w:rPr>
                <w:rFonts w:ascii="Arial" w:hAnsi="Arial" w:cs="Arial"/>
              </w:rPr>
              <w:t xml:space="preserve"> Linden H, </w:t>
            </w:r>
            <w:proofErr w:type="spellStart"/>
            <w:r w:rsidRPr="00980280">
              <w:rPr>
                <w:rFonts w:ascii="Arial" w:hAnsi="Arial" w:cs="Arial"/>
              </w:rPr>
              <w:t>Werker</w:t>
            </w:r>
            <w:proofErr w:type="spellEnd"/>
            <w:r w:rsidRPr="00980280">
              <w:rPr>
                <w:rFonts w:ascii="Arial" w:hAnsi="Arial" w:cs="Arial"/>
              </w:rPr>
              <w:t xml:space="preserve"> PM. Five-year results of a randomized clinical trial on treatment in </w:t>
            </w:r>
            <w:proofErr w:type="spellStart"/>
            <w:r w:rsidRPr="00980280">
              <w:rPr>
                <w:rFonts w:ascii="Arial" w:hAnsi="Arial" w:cs="Arial"/>
              </w:rPr>
              <w:t>Dupuytren's</w:t>
            </w:r>
            <w:proofErr w:type="spellEnd"/>
            <w:r w:rsidRPr="00980280">
              <w:rPr>
                <w:rFonts w:ascii="Arial" w:hAnsi="Arial" w:cs="Arial"/>
              </w:rPr>
              <w:t xml:space="preserve"> disease: Percutaneous needle fasciotomy versus limited fasciectomy. </w:t>
            </w:r>
            <w:proofErr w:type="spellStart"/>
            <w:r w:rsidRPr="00980280">
              <w:rPr>
                <w:rFonts w:ascii="Arial" w:hAnsi="Arial" w:cs="Arial"/>
              </w:rPr>
              <w:t>Plast</w:t>
            </w:r>
            <w:proofErr w:type="spellEnd"/>
            <w:r w:rsidRPr="00980280">
              <w:rPr>
                <w:rFonts w:ascii="Arial" w:hAnsi="Arial" w:cs="Arial"/>
              </w:rPr>
              <w:t xml:space="preserve"> </w:t>
            </w:r>
            <w:proofErr w:type="spellStart"/>
            <w:r w:rsidRPr="00980280">
              <w:rPr>
                <w:rFonts w:ascii="Arial" w:hAnsi="Arial" w:cs="Arial"/>
              </w:rPr>
              <w:t>Reconstr</w:t>
            </w:r>
            <w:proofErr w:type="spellEnd"/>
            <w:r w:rsidRPr="00980280">
              <w:rPr>
                <w:rFonts w:ascii="Arial" w:hAnsi="Arial" w:cs="Arial"/>
              </w:rPr>
              <w:t xml:space="preserve"> Surg. 2012, 129: 469-77.</w:t>
            </w:r>
          </w:p>
          <w:p w14:paraId="10ADADA4" w14:textId="77777777" w:rsidR="00980280" w:rsidRPr="00980280" w:rsidRDefault="00980280" w:rsidP="00980280">
            <w:pPr>
              <w:rPr>
                <w:rFonts w:ascii="Arial" w:hAnsi="Arial" w:cs="Arial"/>
              </w:rPr>
            </w:pPr>
          </w:p>
        </w:tc>
      </w:tr>
    </w:tbl>
    <w:p w14:paraId="65FFB653" w14:textId="77777777" w:rsidR="0065099C" w:rsidRDefault="0065099C" w:rsidP="007B489B">
      <w:pPr>
        <w:rPr>
          <w:rFonts w:ascii="Arial" w:hAnsi="Arial" w:cs="Arial"/>
        </w:rPr>
      </w:pPr>
    </w:p>
    <w:p w14:paraId="1E026898" w14:textId="77777777" w:rsidR="00980280" w:rsidRPr="0002074D" w:rsidRDefault="00980280" w:rsidP="00980280">
      <w:pPr>
        <w:rPr>
          <w:rFonts w:ascii="Arial" w:hAnsi="Arial" w:cs="Arial"/>
          <w:i/>
          <w:sz w:val="24"/>
        </w:rPr>
      </w:pPr>
      <w:r w:rsidRPr="0002074D">
        <w:rPr>
          <w:rFonts w:ascii="Arial" w:hAnsi="Arial" w:cs="Arial"/>
          <w:i/>
          <w:sz w:val="24"/>
        </w:rPr>
        <w:t>Evidence-Based Interventions: Guidance for CCGs</w:t>
      </w:r>
    </w:p>
    <w:p w14:paraId="5D734BE9" w14:textId="77777777" w:rsidR="00980280" w:rsidRPr="0002074D" w:rsidRDefault="00980280" w:rsidP="00980280">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2B34086E" w14:textId="77777777" w:rsidR="00980280" w:rsidRPr="0002074D" w:rsidRDefault="00980280" w:rsidP="00980280">
      <w:pPr>
        <w:rPr>
          <w:rFonts w:ascii="Arial" w:hAnsi="Arial" w:cs="Arial"/>
          <w:i/>
        </w:rPr>
      </w:pPr>
      <w:r w:rsidRPr="0002074D">
        <w:rPr>
          <w:rFonts w:ascii="Arial" w:hAnsi="Arial" w:cs="Arial"/>
          <w:i/>
        </w:rPr>
        <w:t>Version number: 1</w:t>
      </w:r>
    </w:p>
    <w:p w14:paraId="06343530" w14:textId="77777777" w:rsidR="00980280" w:rsidRPr="0002074D" w:rsidRDefault="00980280" w:rsidP="00980280">
      <w:pPr>
        <w:rPr>
          <w:rFonts w:ascii="Arial" w:hAnsi="Arial" w:cs="Arial"/>
          <w:i/>
        </w:rPr>
      </w:pPr>
      <w:r w:rsidRPr="0002074D">
        <w:rPr>
          <w:rFonts w:ascii="Arial" w:hAnsi="Arial" w:cs="Arial"/>
          <w:i/>
        </w:rPr>
        <w:t>First published: 28 November 2018</w:t>
      </w:r>
    </w:p>
    <w:p w14:paraId="1BE92205" w14:textId="77777777" w:rsidR="00980280" w:rsidRPr="0002074D" w:rsidRDefault="00980280" w:rsidP="00980280">
      <w:pPr>
        <w:rPr>
          <w:rFonts w:ascii="Arial" w:hAnsi="Arial" w:cs="Arial"/>
          <w:i/>
        </w:rPr>
      </w:pPr>
      <w:r w:rsidRPr="0002074D">
        <w:rPr>
          <w:rFonts w:ascii="Arial" w:hAnsi="Arial" w:cs="Arial"/>
          <w:i/>
        </w:rPr>
        <w:t>Prepared by: NHS England Medical directorate and Strategy and Innovation directorate</w:t>
      </w:r>
    </w:p>
    <w:p w14:paraId="59CADA67" w14:textId="77777777" w:rsidR="00980280" w:rsidRPr="0002074D" w:rsidRDefault="00980280" w:rsidP="00980280">
      <w:pPr>
        <w:rPr>
          <w:rFonts w:ascii="Arial" w:hAnsi="Arial" w:cs="Arial"/>
          <w:i/>
        </w:rPr>
      </w:pPr>
      <w:r w:rsidRPr="0002074D">
        <w:rPr>
          <w:rFonts w:ascii="Arial" w:hAnsi="Arial" w:cs="Arial"/>
          <w:i/>
        </w:rPr>
        <w:t>Classification: OFFICIAL</w:t>
      </w:r>
    </w:p>
    <w:p w14:paraId="56299149" w14:textId="77777777" w:rsidR="00980280" w:rsidRPr="0002074D" w:rsidRDefault="00980280" w:rsidP="00980280">
      <w:pPr>
        <w:rPr>
          <w:rFonts w:ascii="Arial" w:hAnsi="Arial" w:cs="Arial"/>
          <w:i/>
        </w:rPr>
      </w:pPr>
      <w:r w:rsidRPr="0002074D">
        <w:rPr>
          <w:rFonts w:ascii="Arial" w:hAnsi="Arial" w:cs="Arial"/>
          <w:i/>
        </w:rPr>
        <w:t>NHS England Publications Gateway Reference: 08659</w:t>
      </w:r>
    </w:p>
    <w:p w14:paraId="13B77EA1" w14:textId="77777777" w:rsidR="00980280" w:rsidRPr="00980280" w:rsidRDefault="00980280" w:rsidP="007B489B">
      <w:pPr>
        <w:rPr>
          <w:rFonts w:ascii="Arial" w:hAnsi="Arial" w:cs="Arial"/>
        </w:rPr>
      </w:pPr>
    </w:p>
    <w:sectPr w:rsidR="00980280" w:rsidRPr="00980280" w:rsidSect="005B353A">
      <w:headerReference w:type="default" r:id="rId11"/>
      <w:footerReference w:type="default" r:id="rId12"/>
      <w:pgSz w:w="12240" w:h="15840"/>
      <w:pgMar w:top="1440" w:right="132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2B64" w14:textId="77777777" w:rsidR="008473F2" w:rsidRDefault="00980280">
      <w:r>
        <w:separator/>
      </w:r>
    </w:p>
  </w:endnote>
  <w:endnote w:type="continuationSeparator" w:id="0">
    <w:p w14:paraId="57A53A68" w14:textId="77777777" w:rsidR="008473F2" w:rsidRDefault="0098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30AF" w14:textId="77777777" w:rsidR="00213A56" w:rsidRDefault="00374235">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2E894A5C" wp14:editId="63F67FA4">
              <wp:simplePos x="0" y="0"/>
              <wp:positionH relativeFrom="page">
                <wp:posOffset>6504940</wp:posOffset>
              </wp:positionH>
              <wp:positionV relativeFrom="page">
                <wp:posOffset>10378440</wp:posOffset>
              </wp:positionV>
              <wp:extent cx="178435" cy="152400"/>
              <wp:effectExtent l="0" t="0" r="317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B96B7" w14:textId="77777777" w:rsidR="00213A56" w:rsidRDefault="007B489B">
                          <w:pPr>
                            <w:spacing w:before="12"/>
                            <w:ind w:left="40"/>
                            <w:rPr>
                              <w:sz w:val="18"/>
                            </w:rPr>
                          </w:pPr>
                          <w:r>
                            <w:fldChar w:fldCharType="begin"/>
                          </w:r>
                          <w:r>
                            <w:rPr>
                              <w:color w:val="A00054"/>
                              <w:w w:val="110"/>
                              <w:sz w:val="18"/>
                            </w:rPr>
                            <w:instrText xml:space="preserve"> PAGE </w:instrText>
                          </w:r>
                          <w:r>
                            <w:fldChar w:fldCharType="separate"/>
                          </w:r>
                          <w:r w:rsidR="005B353A">
                            <w:rPr>
                              <w:noProof/>
                              <w:color w:val="A00054"/>
                              <w:w w:val="110"/>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4A5C" id="_x0000_t202" coordsize="21600,21600" o:spt="202" path="m,l,21600r21600,l21600,xe">
              <v:stroke joinstyle="miter"/>
              <v:path gradientshapeok="t" o:connecttype="rect"/>
            </v:shapetype>
            <v:shape id="Text Box 2" o:spid="_x0000_s1026" type="#_x0000_t202" style="position:absolute;margin-left:512.2pt;margin-top:817.2pt;width:14.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" filled="f" stroked="f">
              <v:textbox inset="0,0,0,0">
                <w:txbxContent>
                  <w:p w14:paraId="028B96B7" w14:textId="77777777" w:rsidR="00213A56" w:rsidRDefault="007B489B">
                    <w:pPr>
                      <w:spacing w:before="12"/>
                      <w:ind w:left="40"/>
                      <w:rPr>
                        <w:sz w:val="18"/>
                      </w:rPr>
                    </w:pPr>
                    <w:r>
                      <w:fldChar w:fldCharType="begin"/>
                    </w:r>
                    <w:r>
                      <w:rPr>
                        <w:color w:val="A00054"/>
                        <w:w w:val="110"/>
                        <w:sz w:val="18"/>
                      </w:rPr>
                      <w:instrText xml:space="preserve"> PAGE </w:instrText>
                    </w:r>
                    <w:r>
                      <w:fldChar w:fldCharType="separate"/>
                    </w:r>
                    <w:r w:rsidR="005B353A">
                      <w:rPr>
                        <w:noProof/>
                        <w:color w:val="A00054"/>
                        <w:w w:val="110"/>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A98E" w14:textId="77777777" w:rsidR="008473F2" w:rsidRDefault="00980280">
      <w:r>
        <w:separator/>
      </w:r>
    </w:p>
  </w:footnote>
  <w:footnote w:type="continuationSeparator" w:id="0">
    <w:p w14:paraId="7EC0D410" w14:textId="77777777" w:rsidR="008473F2" w:rsidRDefault="00980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8AC4" w14:textId="77777777" w:rsidR="00980280" w:rsidRDefault="00980280">
    <w:pPr>
      <w:pStyle w:val="Header"/>
    </w:pPr>
    <w:r w:rsidRPr="00573022">
      <w:rPr>
        <w:noProof/>
        <w:lang w:val="en-GB" w:eastAsia="en-GB"/>
      </w:rPr>
      <w:drawing>
        <wp:inline distT="0" distB="0" distL="0" distR="0" wp14:anchorId="4DD0148F" wp14:editId="42B18006">
          <wp:extent cx="3992880" cy="766769"/>
          <wp:effectExtent l="0" t="0" r="7620" b="0"/>
          <wp:docPr id="4"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F9"/>
    <w:multiLevelType w:val="hybridMultilevel"/>
    <w:tmpl w:val="38043DB4"/>
    <w:lvl w:ilvl="0" w:tplc="A7A8666C">
      <w:start w:val="1"/>
      <w:numFmt w:val="decimal"/>
      <w:lvlText w:val="%1."/>
      <w:lvlJc w:val="left"/>
      <w:pPr>
        <w:ind w:left="820" w:hanging="355"/>
        <w:jc w:val="left"/>
      </w:pPr>
      <w:rPr>
        <w:rFonts w:ascii="Times New Roman" w:eastAsia="Times New Roman" w:hAnsi="Times New Roman" w:cs="Times New Roman" w:hint="default"/>
        <w:w w:val="110"/>
        <w:sz w:val="24"/>
        <w:szCs w:val="24"/>
      </w:rPr>
    </w:lvl>
    <w:lvl w:ilvl="1" w:tplc="C42A0C5E">
      <w:numFmt w:val="bullet"/>
      <w:lvlText w:val="•"/>
      <w:lvlJc w:val="left"/>
      <w:pPr>
        <w:ind w:left="1631" w:hanging="355"/>
      </w:pPr>
      <w:rPr>
        <w:rFonts w:hint="default"/>
      </w:rPr>
    </w:lvl>
    <w:lvl w:ilvl="2" w:tplc="B27479BE">
      <w:numFmt w:val="bullet"/>
      <w:lvlText w:val="•"/>
      <w:lvlJc w:val="left"/>
      <w:pPr>
        <w:ind w:left="2443" w:hanging="355"/>
      </w:pPr>
      <w:rPr>
        <w:rFonts w:hint="default"/>
      </w:rPr>
    </w:lvl>
    <w:lvl w:ilvl="3" w:tplc="D1568302">
      <w:numFmt w:val="bullet"/>
      <w:lvlText w:val="•"/>
      <w:lvlJc w:val="left"/>
      <w:pPr>
        <w:ind w:left="3255" w:hanging="355"/>
      </w:pPr>
      <w:rPr>
        <w:rFonts w:hint="default"/>
      </w:rPr>
    </w:lvl>
    <w:lvl w:ilvl="4" w:tplc="47BED040">
      <w:numFmt w:val="bullet"/>
      <w:lvlText w:val="•"/>
      <w:lvlJc w:val="left"/>
      <w:pPr>
        <w:ind w:left="4066" w:hanging="355"/>
      </w:pPr>
      <w:rPr>
        <w:rFonts w:hint="default"/>
      </w:rPr>
    </w:lvl>
    <w:lvl w:ilvl="5" w:tplc="A08C88E0">
      <w:numFmt w:val="bullet"/>
      <w:lvlText w:val="•"/>
      <w:lvlJc w:val="left"/>
      <w:pPr>
        <w:ind w:left="4878" w:hanging="355"/>
      </w:pPr>
      <w:rPr>
        <w:rFonts w:hint="default"/>
      </w:rPr>
    </w:lvl>
    <w:lvl w:ilvl="6" w:tplc="64BC13B4">
      <w:numFmt w:val="bullet"/>
      <w:lvlText w:val="•"/>
      <w:lvlJc w:val="left"/>
      <w:pPr>
        <w:ind w:left="5690" w:hanging="355"/>
      </w:pPr>
      <w:rPr>
        <w:rFonts w:hint="default"/>
      </w:rPr>
    </w:lvl>
    <w:lvl w:ilvl="7" w:tplc="523C5A7A">
      <w:numFmt w:val="bullet"/>
      <w:lvlText w:val="•"/>
      <w:lvlJc w:val="left"/>
      <w:pPr>
        <w:ind w:left="6501" w:hanging="355"/>
      </w:pPr>
      <w:rPr>
        <w:rFonts w:hint="default"/>
      </w:rPr>
    </w:lvl>
    <w:lvl w:ilvl="8" w:tplc="7AC2F27E">
      <w:numFmt w:val="bullet"/>
      <w:lvlText w:val="•"/>
      <w:lvlJc w:val="left"/>
      <w:pPr>
        <w:ind w:left="7313" w:hanging="355"/>
      </w:pPr>
      <w:rPr>
        <w:rFonts w:hint="default"/>
      </w:rPr>
    </w:lvl>
  </w:abstractNum>
  <w:abstractNum w:abstractNumId="1" w15:restartNumberingAfterBreak="0">
    <w:nsid w:val="40CA4B31"/>
    <w:multiLevelType w:val="hybridMultilevel"/>
    <w:tmpl w:val="BF64F994"/>
    <w:lvl w:ilvl="0" w:tplc="353A3B72">
      <w:start w:val="2"/>
      <w:numFmt w:val="lowerLetter"/>
      <w:lvlText w:val="%1."/>
      <w:lvlJc w:val="left"/>
      <w:pPr>
        <w:ind w:left="1546" w:hanging="360"/>
        <w:jc w:val="left"/>
      </w:pPr>
      <w:rPr>
        <w:rFonts w:hint="default"/>
        <w:w w:val="110"/>
        <w:highlight w:val="lightGray"/>
      </w:rPr>
    </w:lvl>
    <w:lvl w:ilvl="1" w:tplc="D46A694E">
      <w:start w:val="1"/>
      <w:numFmt w:val="lowerRoman"/>
      <w:lvlText w:val="%2."/>
      <w:lvlJc w:val="left"/>
      <w:pPr>
        <w:ind w:left="2267" w:hanging="481"/>
        <w:jc w:val="left"/>
      </w:pPr>
      <w:rPr>
        <w:rFonts w:hint="default"/>
        <w:w w:val="79"/>
      </w:rPr>
    </w:lvl>
    <w:lvl w:ilvl="2" w:tplc="4BBA939E">
      <w:numFmt w:val="bullet"/>
      <w:lvlText w:val="•"/>
      <w:lvlJc w:val="left"/>
      <w:pPr>
        <w:ind w:left="3001" w:hanging="481"/>
      </w:pPr>
      <w:rPr>
        <w:rFonts w:hint="default"/>
      </w:rPr>
    </w:lvl>
    <w:lvl w:ilvl="3" w:tplc="B28C4882">
      <w:numFmt w:val="bullet"/>
      <w:lvlText w:val="•"/>
      <w:lvlJc w:val="left"/>
      <w:pPr>
        <w:ind w:left="3743" w:hanging="481"/>
      </w:pPr>
      <w:rPr>
        <w:rFonts w:hint="default"/>
      </w:rPr>
    </w:lvl>
    <w:lvl w:ilvl="4" w:tplc="FD38DB98">
      <w:numFmt w:val="bullet"/>
      <w:lvlText w:val="•"/>
      <w:lvlJc w:val="left"/>
      <w:pPr>
        <w:ind w:left="4485" w:hanging="481"/>
      </w:pPr>
      <w:rPr>
        <w:rFonts w:hint="default"/>
      </w:rPr>
    </w:lvl>
    <w:lvl w:ilvl="5" w:tplc="EEB2A518">
      <w:numFmt w:val="bullet"/>
      <w:lvlText w:val="•"/>
      <w:lvlJc w:val="left"/>
      <w:pPr>
        <w:ind w:left="5227" w:hanging="481"/>
      </w:pPr>
      <w:rPr>
        <w:rFonts w:hint="default"/>
      </w:rPr>
    </w:lvl>
    <w:lvl w:ilvl="6" w:tplc="F2AEA5FA">
      <w:numFmt w:val="bullet"/>
      <w:lvlText w:val="•"/>
      <w:lvlJc w:val="left"/>
      <w:pPr>
        <w:ind w:left="5969" w:hanging="481"/>
      </w:pPr>
      <w:rPr>
        <w:rFonts w:hint="default"/>
      </w:rPr>
    </w:lvl>
    <w:lvl w:ilvl="7" w:tplc="01F427F4">
      <w:numFmt w:val="bullet"/>
      <w:lvlText w:val="•"/>
      <w:lvlJc w:val="left"/>
      <w:pPr>
        <w:ind w:left="6711" w:hanging="481"/>
      </w:pPr>
      <w:rPr>
        <w:rFonts w:hint="default"/>
      </w:rPr>
    </w:lvl>
    <w:lvl w:ilvl="8" w:tplc="34CCCC44">
      <w:numFmt w:val="bullet"/>
      <w:lvlText w:val="•"/>
      <w:lvlJc w:val="left"/>
      <w:pPr>
        <w:ind w:left="7453" w:hanging="481"/>
      </w:pPr>
      <w:rPr>
        <w:rFonts w:hint="default"/>
      </w:rPr>
    </w:lvl>
  </w:abstractNum>
  <w:abstractNum w:abstractNumId="2" w15:restartNumberingAfterBreak="0">
    <w:nsid w:val="5AF403FD"/>
    <w:multiLevelType w:val="hybridMultilevel"/>
    <w:tmpl w:val="73669BD4"/>
    <w:lvl w:ilvl="0" w:tplc="881E7952">
      <w:start w:val="7"/>
      <w:numFmt w:val="decimal"/>
      <w:lvlText w:val="%1."/>
      <w:lvlJc w:val="left"/>
      <w:pPr>
        <w:ind w:left="827" w:hanging="360"/>
        <w:jc w:val="left"/>
      </w:pPr>
      <w:rPr>
        <w:rFonts w:ascii="Times New Roman" w:eastAsia="Times New Roman" w:hAnsi="Times New Roman" w:cs="Times New Roman" w:hint="default"/>
        <w:w w:val="110"/>
        <w:sz w:val="24"/>
        <w:szCs w:val="24"/>
      </w:rPr>
    </w:lvl>
    <w:lvl w:ilvl="1" w:tplc="BADE55C8">
      <w:numFmt w:val="bullet"/>
      <w:lvlText w:val="•"/>
      <w:lvlJc w:val="left"/>
      <w:pPr>
        <w:ind w:left="1631" w:hanging="360"/>
      </w:pPr>
      <w:rPr>
        <w:rFonts w:hint="default"/>
      </w:rPr>
    </w:lvl>
    <w:lvl w:ilvl="2" w:tplc="5156E8CA">
      <w:numFmt w:val="bullet"/>
      <w:lvlText w:val="•"/>
      <w:lvlJc w:val="left"/>
      <w:pPr>
        <w:ind w:left="2443" w:hanging="360"/>
      </w:pPr>
      <w:rPr>
        <w:rFonts w:hint="default"/>
      </w:rPr>
    </w:lvl>
    <w:lvl w:ilvl="3" w:tplc="4B28B088">
      <w:numFmt w:val="bullet"/>
      <w:lvlText w:val="•"/>
      <w:lvlJc w:val="left"/>
      <w:pPr>
        <w:ind w:left="3255" w:hanging="360"/>
      </w:pPr>
      <w:rPr>
        <w:rFonts w:hint="default"/>
      </w:rPr>
    </w:lvl>
    <w:lvl w:ilvl="4" w:tplc="BFCC8844">
      <w:numFmt w:val="bullet"/>
      <w:lvlText w:val="•"/>
      <w:lvlJc w:val="left"/>
      <w:pPr>
        <w:ind w:left="4066" w:hanging="360"/>
      </w:pPr>
      <w:rPr>
        <w:rFonts w:hint="default"/>
      </w:rPr>
    </w:lvl>
    <w:lvl w:ilvl="5" w:tplc="363C080E">
      <w:numFmt w:val="bullet"/>
      <w:lvlText w:val="•"/>
      <w:lvlJc w:val="left"/>
      <w:pPr>
        <w:ind w:left="4878" w:hanging="360"/>
      </w:pPr>
      <w:rPr>
        <w:rFonts w:hint="default"/>
      </w:rPr>
    </w:lvl>
    <w:lvl w:ilvl="6" w:tplc="4F8C2E04">
      <w:numFmt w:val="bullet"/>
      <w:lvlText w:val="•"/>
      <w:lvlJc w:val="left"/>
      <w:pPr>
        <w:ind w:left="5690" w:hanging="360"/>
      </w:pPr>
      <w:rPr>
        <w:rFonts w:hint="default"/>
      </w:rPr>
    </w:lvl>
    <w:lvl w:ilvl="7" w:tplc="A5A8C1EA">
      <w:numFmt w:val="bullet"/>
      <w:lvlText w:val="•"/>
      <w:lvlJc w:val="left"/>
      <w:pPr>
        <w:ind w:left="6501" w:hanging="360"/>
      </w:pPr>
      <w:rPr>
        <w:rFonts w:hint="default"/>
      </w:rPr>
    </w:lvl>
    <w:lvl w:ilvl="8" w:tplc="A96AE684">
      <w:numFmt w:val="bullet"/>
      <w:lvlText w:val="•"/>
      <w:lvlJc w:val="left"/>
      <w:pPr>
        <w:ind w:left="7313" w:hanging="360"/>
      </w:pPr>
      <w:rPr>
        <w:rFont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4" w15:restartNumberingAfterBreak="0">
    <w:nsid w:val="79BE2FB1"/>
    <w:multiLevelType w:val="hybridMultilevel"/>
    <w:tmpl w:val="87F8BF2E"/>
    <w:lvl w:ilvl="0" w:tplc="BA70D7B2">
      <w:numFmt w:val="bullet"/>
      <w:lvlText w:val="□"/>
      <w:lvlJc w:val="left"/>
      <w:pPr>
        <w:ind w:left="827" w:hanging="361"/>
      </w:pPr>
      <w:rPr>
        <w:rFonts w:ascii="Times New Roman" w:eastAsia="Times New Roman" w:hAnsi="Times New Roman" w:cs="Times New Roman" w:hint="default"/>
        <w:w w:val="75"/>
        <w:sz w:val="24"/>
        <w:szCs w:val="24"/>
      </w:rPr>
    </w:lvl>
    <w:lvl w:ilvl="1" w:tplc="7438F358">
      <w:start w:val="1"/>
      <w:numFmt w:val="lowerLetter"/>
      <w:lvlText w:val="%2."/>
      <w:lvlJc w:val="left"/>
      <w:pPr>
        <w:ind w:left="1557" w:hanging="283"/>
        <w:jc w:val="left"/>
      </w:pPr>
      <w:rPr>
        <w:rFonts w:hint="default"/>
        <w:w w:val="110"/>
      </w:rPr>
    </w:lvl>
    <w:lvl w:ilvl="2" w:tplc="3D741982">
      <w:numFmt w:val="bullet"/>
      <w:lvlText w:val="•"/>
      <w:lvlJc w:val="left"/>
      <w:pPr>
        <w:ind w:left="2379" w:hanging="283"/>
      </w:pPr>
      <w:rPr>
        <w:rFonts w:hint="default"/>
      </w:rPr>
    </w:lvl>
    <w:lvl w:ilvl="3" w:tplc="F6EA0312">
      <w:numFmt w:val="bullet"/>
      <w:lvlText w:val="•"/>
      <w:lvlJc w:val="left"/>
      <w:pPr>
        <w:ind w:left="3199" w:hanging="283"/>
      </w:pPr>
      <w:rPr>
        <w:rFonts w:hint="default"/>
      </w:rPr>
    </w:lvl>
    <w:lvl w:ilvl="4" w:tplc="0BDC56A6">
      <w:numFmt w:val="bullet"/>
      <w:lvlText w:val="•"/>
      <w:lvlJc w:val="left"/>
      <w:pPr>
        <w:ind w:left="4019" w:hanging="283"/>
      </w:pPr>
      <w:rPr>
        <w:rFonts w:hint="default"/>
      </w:rPr>
    </w:lvl>
    <w:lvl w:ilvl="5" w:tplc="78721300">
      <w:numFmt w:val="bullet"/>
      <w:lvlText w:val="•"/>
      <w:lvlJc w:val="left"/>
      <w:pPr>
        <w:ind w:left="4838" w:hanging="283"/>
      </w:pPr>
      <w:rPr>
        <w:rFonts w:hint="default"/>
      </w:rPr>
    </w:lvl>
    <w:lvl w:ilvl="6" w:tplc="4FCE2C70">
      <w:numFmt w:val="bullet"/>
      <w:lvlText w:val="•"/>
      <w:lvlJc w:val="left"/>
      <w:pPr>
        <w:ind w:left="5658" w:hanging="283"/>
      </w:pPr>
      <w:rPr>
        <w:rFonts w:hint="default"/>
      </w:rPr>
    </w:lvl>
    <w:lvl w:ilvl="7" w:tplc="227C4CBE">
      <w:numFmt w:val="bullet"/>
      <w:lvlText w:val="•"/>
      <w:lvlJc w:val="left"/>
      <w:pPr>
        <w:ind w:left="6478" w:hanging="283"/>
      </w:pPr>
      <w:rPr>
        <w:rFonts w:hint="default"/>
      </w:rPr>
    </w:lvl>
    <w:lvl w:ilvl="8" w:tplc="7676130A">
      <w:numFmt w:val="bullet"/>
      <w:lvlText w:val="•"/>
      <w:lvlJc w:val="left"/>
      <w:pPr>
        <w:ind w:left="7297" w:hanging="283"/>
      </w:pPr>
      <w:rPr>
        <w:rFonts w:hint="default"/>
      </w:rPr>
    </w:lvl>
  </w:abstractNum>
  <w:num w:numId="1" w16cid:durableId="1245145300">
    <w:abstractNumId w:val="2"/>
  </w:num>
  <w:num w:numId="2" w16cid:durableId="1659574919">
    <w:abstractNumId w:val="0"/>
  </w:num>
  <w:num w:numId="3" w16cid:durableId="905726603">
    <w:abstractNumId w:val="1"/>
  </w:num>
  <w:num w:numId="4" w16cid:durableId="2126804728">
    <w:abstractNumId w:val="4"/>
  </w:num>
  <w:num w:numId="5" w16cid:durableId="885530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235"/>
    <w:rsid w:val="00374235"/>
    <w:rsid w:val="005B353A"/>
    <w:rsid w:val="0065099C"/>
    <w:rsid w:val="007B1649"/>
    <w:rsid w:val="007B489B"/>
    <w:rsid w:val="008473F2"/>
    <w:rsid w:val="0098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796658"/>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4235"/>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4235"/>
    <w:rPr>
      <w:sz w:val="24"/>
      <w:szCs w:val="24"/>
    </w:rPr>
  </w:style>
  <w:style w:type="character" w:customStyle="1" w:styleId="BodyTextChar">
    <w:name w:val="Body Text Char"/>
    <w:basedOn w:val="DefaultParagraphFont"/>
    <w:link w:val="BodyText"/>
    <w:uiPriority w:val="1"/>
    <w:rsid w:val="00374235"/>
    <w:rPr>
      <w:sz w:val="24"/>
      <w:szCs w:val="24"/>
      <w:lang w:val="en-US" w:eastAsia="en-US"/>
    </w:rPr>
  </w:style>
  <w:style w:type="paragraph" w:styleId="ListParagraph">
    <w:name w:val="List Paragraph"/>
    <w:basedOn w:val="Normal"/>
    <w:uiPriority w:val="1"/>
    <w:qFormat/>
    <w:rsid w:val="00374235"/>
    <w:pPr>
      <w:ind w:left="645" w:hanging="360"/>
    </w:pPr>
  </w:style>
  <w:style w:type="paragraph" w:customStyle="1" w:styleId="TableParagraph">
    <w:name w:val="Table Paragraph"/>
    <w:basedOn w:val="Normal"/>
    <w:uiPriority w:val="1"/>
    <w:qFormat/>
    <w:rsid w:val="00374235"/>
  </w:style>
  <w:style w:type="character" w:styleId="Hyperlink">
    <w:name w:val="Hyperlink"/>
    <w:basedOn w:val="DefaultParagraphFont"/>
    <w:rsid w:val="007B489B"/>
    <w:rPr>
      <w:color w:val="0000FF" w:themeColor="hyperlink"/>
      <w:u w:val="single"/>
    </w:rPr>
  </w:style>
  <w:style w:type="paragraph" w:styleId="Header">
    <w:name w:val="header"/>
    <w:basedOn w:val="Normal"/>
    <w:link w:val="HeaderChar"/>
    <w:uiPriority w:val="99"/>
    <w:rsid w:val="00980280"/>
    <w:pPr>
      <w:tabs>
        <w:tab w:val="center" w:pos="4513"/>
        <w:tab w:val="right" w:pos="9026"/>
      </w:tabs>
    </w:pPr>
  </w:style>
  <w:style w:type="character" w:customStyle="1" w:styleId="HeaderChar">
    <w:name w:val="Header Char"/>
    <w:basedOn w:val="DefaultParagraphFont"/>
    <w:link w:val="Header"/>
    <w:uiPriority w:val="99"/>
    <w:rsid w:val="00980280"/>
    <w:rPr>
      <w:sz w:val="22"/>
      <w:szCs w:val="22"/>
      <w:lang w:val="en-US" w:eastAsia="en-US"/>
    </w:rPr>
  </w:style>
  <w:style w:type="paragraph" w:styleId="Footer">
    <w:name w:val="footer"/>
    <w:basedOn w:val="Normal"/>
    <w:link w:val="FooterChar"/>
    <w:rsid w:val="00980280"/>
    <w:pPr>
      <w:tabs>
        <w:tab w:val="center" w:pos="4513"/>
        <w:tab w:val="right" w:pos="9026"/>
      </w:tabs>
    </w:pPr>
  </w:style>
  <w:style w:type="character" w:customStyle="1" w:styleId="FooterChar">
    <w:name w:val="Footer Char"/>
    <w:basedOn w:val="DefaultParagraphFont"/>
    <w:link w:val="Footer"/>
    <w:rsid w:val="00980280"/>
    <w:rPr>
      <w:sz w:val="22"/>
      <w:szCs w:val="22"/>
      <w:lang w:val="en-US" w:eastAsia="en-US"/>
    </w:rPr>
  </w:style>
  <w:style w:type="paragraph" w:styleId="BalloonText">
    <w:name w:val="Balloon Text"/>
    <w:basedOn w:val="Normal"/>
    <w:link w:val="BalloonTextChar"/>
    <w:rsid w:val="00980280"/>
    <w:rPr>
      <w:rFonts w:ascii="Tahoma" w:hAnsi="Tahoma" w:cs="Tahoma"/>
      <w:sz w:val="16"/>
      <w:szCs w:val="16"/>
    </w:rPr>
  </w:style>
  <w:style w:type="character" w:customStyle="1" w:styleId="BalloonTextChar">
    <w:name w:val="Balloon Text Char"/>
    <w:basedOn w:val="DefaultParagraphFont"/>
    <w:link w:val="BalloonText"/>
    <w:rsid w:val="0098028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sh.ac.uk/_userfiles/pages/files/Patients/Conditions/Electi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ice.org.uk/guidance/ta459" TargetMode="External"/><Relationship Id="rId4" Type="http://schemas.openxmlformats.org/officeDocument/2006/relationships/webSettings" Target="webSettings.xml"/><Relationship Id="rId9" Type="http://schemas.openxmlformats.org/officeDocument/2006/relationships/hyperlink" Target="http://www.nice.org.uk/guidance/ipg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2023-02-22T11:40:00Z</dcterms:created>
  <dcterms:modified xsi:type="dcterms:W3CDTF">2023-02-22T11:40:00Z</dcterms:modified>
</cp:coreProperties>
</file>