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E1B42" w14:textId="77777777" w:rsidR="00BD2DEA" w:rsidRDefault="00BD2DEA" w:rsidP="00637F4A">
      <w:pPr>
        <w:rPr>
          <w:rFonts w:ascii="Arial" w:hAnsi="Arial" w:cs="Arial"/>
        </w:rPr>
      </w:pPr>
    </w:p>
    <w:p w14:paraId="19887B96" w14:textId="77777777" w:rsidR="00BD2DEA" w:rsidRDefault="00BD2DEA" w:rsidP="00637F4A">
      <w:pPr>
        <w:rPr>
          <w:rFonts w:ascii="Arial" w:hAnsi="Arial" w:cs="Arial"/>
        </w:rPr>
      </w:pPr>
    </w:p>
    <w:p w14:paraId="7C815FD9" w14:textId="29353CEA" w:rsidR="00CD60D3" w:rsidRPr="003A7AAF" w:rsidRDefault="00BD2DEA" w:rsidP="00BD2DEA">
      <w:pPr>
        <w:rPr>
          <w:rFonts w:ascii="Arial" w:hAnsi="Arial" w:cs="Arial"/>
          <w:i/>
          <w:sz w:val="20"/>
          <w:szCs w:val="20"/>
        </w:rPr>
      </w:pPr>
      <w:r w:rsidRPr="003A7AAF">
        <w:rPr>
          <w:rFonts w:ascii="Arial" w:hAnsi="Arial" w:cs="Arial"/>
          <w:i/>
          <w:sz w:val="20"/>
          <w:szCs w:val="20"/>
        </w:rPr>
        <w:t xml:space="preserve">Extract from the below named document for ICS Implementation </w:t>
      </w:r>
      <w:proofErr w:type="gramStart"/>
      <w:r w:rsidRPr="003A7AAF">
        <w:rPr>
          <w:rFonts w:ascii="Arial" w:hAnsi="Arial" w:cs="Arial"/>
          <w:i/>
          <w:sz w:val="20"/>
          <w:szCs w:val="20"/>
        </w:rPr>
        <w:t>purposes;</w:t>
      </w:r>
      <w:proofErr w:type="gramEnd"/>
      <w:r w:rsidRPr="003A7AAF">
        <w:rPr>
          <w:rFonts w:ascii="Arial" w:hAnsi="Arial" w:cs="Arial"/>
          <w:i/>
          <w:sz w:val="20"/>
          <w:szCs w:val="20"/>
        </w:rPr>
        <w:t xml:space="preserve">  </w:t>
      </w:r>
    </w:p>
    <w:p w14:paraId="624B502B" w14:textId="1F4BADEE" w:rsidR="00CD60D3" w:rsidRPr="0002074D" w:rsidRDefault="00CD60D3" w:rsidP="00BD2DEA">
      <w:pPr>
        <w:rPr>
          <w:rFonts w:ascii="Arial" w:hAnsi="Arial" w:cs="Arial"/>
          <w:i/>
          <w:sz w:val="20"/>
        </w:rPr>
      </w:pPr>
      <w:hyperlink r:id="rId7" w:history="1">
        <w:r w:rsidRPr="003A7AAF">
          <w:rPr>
            <w:rStyle w:val="Hyperlink"/>
            <w:rFonts w:ascii="Arial" w:hAnsi="Arial" w:cs="Arial"/>
            <w:i/>
            <w:sz w:val="20"/>
            <w:szCs w:val="20"/>
          </w:rPr>
          <w:t>Microsoft Word - EBI consultation response statutory guidance 11 Jan 2019 FINAL v2.0 CLEAN + cover sheet.docx (aomrc.org.uk)</w:t>
        </w:r>
      </w:hyperlink>
    </w:p>
    <w:p w14:paraId="43AD471E" w14:textId="77777777" w:rsidR="00BD2DEA" w:rsidRDefault="00BD2DEA" w:rsidP="00BD2DEA">
      <w:pPr>
        <w:jc w:val="center"/>
        <w:rPr>
          <w:rFonts w:ascii="Arial" w:hAnsi="Arial" w:cs="Arial"/>
          <w:sz w:val="24"/>
        </w:rPr>
      </w:pP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t>______________________________________________________________</w:t>
      </w:r>
    </w:p>
    <w:p w14:paraId="698E350B" w14:textId="77777777" w:rsidR="00BD2DEA" w:rsidRDefault="00BD2DEA" w:rsidP="00637F4A">
      <w:pPr>
        <w:rPr>
          <w:rFonts w:ascii="Arial" w:hAnsi="Arial" w:cs="Arial"/>
        </w:rPr>
      </w:pPr>
    </w:p>
    <w:p w14:paraId="0F95DD76" w14:textId="77777777" w:rsidR="00637F4A" w:rsidRPr="00BD2DEA" w:rsidRDefault="00B14810" w:rsidP="00637F4A">
      <w:pPr>
        <w:rPr>
          <w:rFonts w:ascii="Arial" w:hAnsi="Arial" w:cs="Arial"/>
          <w:sz w:val="24"/>
        </w:rPr>
      </w:pPr>
      <w:r w:rsidRPr="00BD2DEA">
        <w:rPr>
          <w:rFonts w:ascii="Arial" w:hAnsi="Arial" w:cs="Arial"/>
          <w:sz w:val="24"/>
        </w:rPr>
        <w:t xml:space="preserve">Trigger finger release in adults </w:t>
      </w:r>
    </w:p>
    <w:p w14:paraId="035DB204" w14:textId="77777777" w:rsidR="00BD2DEA" w:rsidRPr="00BD2DEA" w:rsidRDefault="00BD2DEA" w:rsidP="00637F4A">
      <w:pPr>
        <w:rPr>
          <w:rFonts w:ascii="Arial" w:hAnsi="Arial" w:cs="Arial"/>
          <w:sz w:val="24"/>
        </w:rPr>
      </w:pPr>
    </w:p>
    <w:p w14:paraId="3C82F522" w14:textId="77777777" w:rsidR="00B14810" w:rsidRPr="00BD2DEA" w:rsidRDefault="00B14810" w:rsidP="00637F4A">
      <w:pPr>
        <w:rPr>
          <w:rFonts w:ascii="Arial" w:hAnsi="Arial" w:cs="Arial"/>
          <w:sz w:val="24"/>
        </w:rPr>
      </w:pPr>
      <w:r w:rsidRPr="00BD2DEA">
        <w:rPr>
          <w:rFonts w:ascii="Arial" w:hAnsi="Arial" w:cs="Arial"/>
          <w:sz w:val="24"/>
        </w:rPr>
        <w:t>Updated description of the intervention</w:t>
      </w:r>
    </w:p>
    <w:p w14:paraId="0702DD3E" w14:textId="77777777" w:rsidR="00BD2DEA" w:rsidRPr="00BD2DEA" w:rsidRDefault="00BD2DEA" w:rsidP="00637F4A">
      <w:pPr>
        <w:rPr>
          <w:rFonts w:ascii="Arial" w:hAnsi="Arial" w:cs="Arial"/>
        </w:rPr>
      </w:pPr>
    </w:p>
    <w:p w14:paraId="13EE365E" w14:textId="77777777" w:rsidR="00B14810" w:rsidRPr="00BD2DEA" w:rsidRDefault="00B14810" w:rsidP="00637F4A">
      <w:pPr>
        <w:rPr>
          <w:rFonts w:ascii="Arial" w:hAnsi="Arial" w:cs="Arial"/>
        </w:rPr>
      </w:pPr>
      <w:r w:rsidRPr="00BD2DEA">
        <w:rPr>
          <w:rFonts w:ascii="Arial" w:hAnsi="Arial" w:cs="Arial"/>
        </w:rPr>
        <w:t>Trigger finger often resolves over time and is often a nuisance rather than a serious problem. If treatment is necessary steroid injection can be considered. Surgery should only be offered in specific cases according to NICE accredited guidelines by the British Society for Surgery to the Hand, where alternative measures have not been successful and persistent or recurrent triggering, or a locked finger occurs.</w:t>
      </w:r>
    </w:p>
    <w:p w14:paraId="34A87962" w14:textId="77777777" w:rsidR="00B14810" w:rsidRPr="00BD2DEA" w:rsidRDefault="00B14810" w:rsidP="00637F4A">
      <w:pPr>
        <w:rPr>
          <w:rFonts w:ascii="Arial" w:hAnsi="Arial" w:cs="Arial"/>
        </w:rPr>
      </w:pPr>
    </w:p>
    <w:p w14:paraId="3E457826" w14:textId="77777777" w:rsidR="00B14810" w:rsidRPr="00BD2DEA" w:rsidRDefault="00B14810" w:rsidP="00637F4A">
      <w:pPr>
        <w:rPr>
          <w:rFonts w:ascii="Arial" w:hAnsi="Arial" w:cs="Arial"/>
        </w:rPr>
      </w:pPr>
      <w:r w:rsidRPr="00BD2DEA">
        <w:rPr>
          <w:rFonts w:ascii="Arial" w:hAnsi="Arial" w:cs="Arial"/>
        </w:rPr>
        <w:t>Updated clinical criteria</w:t>
      </w:r>
    </w:p>
    <w:p w14:paraId="0A1F1197" w14:textId="77777777" w:rsidR="00B14810" w:rsidRPr="00BD2DEA" w:rsidRDefault="00B14810" w:rsidP="00637F4A">
      <w:pPr>
        <w:rPr>
          <w:rFonts w:ascii="Arial" w:hAnsi="Arial" w:cs="Arial"/>
        </w:rPr>
      </w:pPr>
    </w:p>
    <w:tbl>
      <w:tblPr>
        <w:tblW w:w="92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73"/>
      </w:tblGrid>
      <w:tr w:rsidR="00B14810" w:rsidRPr="00BD2DEA" w14:paraId="4669AAC6" w14:textId="77777777" w:rsidTr="00BD2DEA">
        <w:trPr>
          <w:trHeight w:val="275"/>
        </w:trPr>
        <w:tc>
          <w:tcPr>
            <w:tcW w:w="9273" w:type="dxa"/>
            <w:shd w:val="clear" w:color="auto" w:fill="16365D"/>
          </w:tcPr>
          <w:p w14:paraId="64F281C7" w14:textId="77777777" w:rsidR="00B14810" w:rsidRPr="00BD2DEA" w:rsidRDefault="00B14810" w:rsidP="00637F4A">
            <w:pPr>
              <w:rPr>
                <w:rFonts w:ascii="Arial" w:hAnsi="Arial" w:cs="Arial"/>
              </w:rPr>
            </w:pPr>
            <w:r w:rsidRPr="00BD2DEA">
              <w:rPr>
                <w:rFonts w:ascii="Arial" w:hAnsi="Arial" w:cs="Arial"/>
              </w:rPr>
              <w:t>Summary of intervention</w:t>
            </w:r>
          </w:p>
        </w:tc>
      </w:tr>
      <w:tr w:rsidR="00B14810" w:rsidRPr="00BD2DEA" w14:paraId="6CCD0B79" w14:textId="77777777" w:rsidTr="00BD2DEA">
        <w:trPr>
          <w:trHeight w:val="1559"/>
        </w:trPr>
        <w:tc>
          <w:tcPr>
            <w:tcW w:w="9273" w:type="dxa"/>
          </w:tcPr>
          <w:p w14:paraId="5EC954F4" w14:textId="77777777" w:rsidR="00B14810" w:rsidRPr="00BD2DEA" w:rsidRDefault="00B14810" w:rsidP="00637F4A">
            <w:pPr>
              <w:rPr>
                <w:rFonts w:ascii="Arial" w:hAnsi="Arial" w:cs="Arial"/>
              </w:rPr>
            </w:pPr>
            <w:r w:rsidRPr="00BD2DEA">
              <w:rPr>
                <w:rFonts w:ascii="Arial" w:hAnsi="Arial" w:cs="Arial"/>
              </w:rPr>
              <w:t>Trigger digit occurs when the tendons which bend the thumb/finger into the palm intermittently jam in the tight tunnel (flexor sheath) through which they run. It may occur in one or several fingers and causes the finger to “lock” in the palm of the hand. Mild triggering is a nuisance and causes infrequent locking episodes. Other cases cause pain and loss and unreliability of hand function. Mild cases require no treatment and may resolve spontaneously.</w:t>
            </w:r>
          </w:p>
        </w:tc>
      </w:tr>
      <w:tr w:rsidR="00B14810" w:rsidRPr="00BD2DEA" w14:paraId="1803AE36" w14:textId="77777777" w:rsidTr="00BD2DEA">
        <w:trPr>
          <w:trHeight w:val="275"/>
        </w:trPr>
        <w:tc>
          <w:tcPr>
            <w:tcW w:w="9273" w:type="dxa"/>
            <w:shd w:val="clear" w:color="auto" w:fill="16365D"/>
          </w:tcPr>
          <w:p w14:paraId="113E244F" w14:textId="77777777" w:rsidR="00B14810" w:rsidRPr="00BD2DEA" w:rsidRDefault="00B14810" w:rsidP="00637F4A">
            <w:pPr>
              <w:rPr>
                <w:rFonts w:ascii="Arial" w:hAnsi="Arial" w:cs="Arial"/>
              </w:rPr>
            </w:pPr>
            <w:r w:rsidRPr="00BD2DEA">
              <w:rPr>
                <w:rFonts w:ascii="Arial" w:hAnsi="Arial" w:cs="Arial"/>
              </w:rPr>
              <w:t>Number of CCG interventions in 2017/18</w:t>
            </w:r>
          </w:p>
        </w:tc>
      </w:tr>
      <w:tr w:rsidR="00B14810" w:rsidRPr="00BD2DEA" w14:paraId="6FE27BCE" w14:textId="77777777" w:rsidTr="00BD2DEA">
        <w:trPr>
          <w:trHeight w:val="253"/>
        </w:trPr>
        <w:tc>
          <w:tcPr>
            <w:tcW w:w="9273" w:type="dxa"/>
          </w:tcPr>
          <w:p w14:paraId="603F1A58" w14:textId="77777777" w:rsidR="00B14810" w:rsidRPr="00BD2DEA" w:rsidRDefault="00B14810" w:rsidP="00637F4A">
            <w:pPr>
              <w:rPr>
                <w:rFonts w:ascii="Arial" w:hAnsi="Arial" w:cs="Arial"/>
              </w:rPr>
            </w:pPr>
            <w:r w:rsidRPr="00BD2DEA">
              <w:rPr>
                <w:rFonts w:ascii="Arial" w:hAnsi="Arial" w:cs="Arial"/>
              </w:rPr>
              <w:t>7,789</w:t>
            </w:r>
          </w:p>
        </w:tc>
      </w:tr>
      <w:tr w:rsidR="00B14810" w:rsidRPr="00BD2DEA" w14:paraId="4E80958D" w14:textId="77777777" w:rsidTr="00BD2DEA">
        <w:trPr>
          <w:trHeight w:val="277"/>
        </w:trPr>
        <w:tc>
          <w:tcPr>
            <w:tcW w:w="9273" w:type="dxa"/>
            <w:shd w:val="clear" w:color="auto" w:fill="16365D"/>
          </w:tcPr>
          <w:p w14:paraId="5EB485DF" w14:textId="77777777" w:rsidR="00B14810" w:rsidRPr="00BD2DEA" w:rsidRDefault="00B14810" w:rsidP="00637F4A">
            <w:pPr>
              <w:rPr>
                <w:rFonts w:ascii="Arial" w:hAnsi="Arial" w:cs="Arial"/>
              </w:rPr>
            </w:pPr>
            <w:r w:rsidRPr="00BD2DEA">
              <w:rPr>
                <w:rFonts w:ascii="Arial" w:hAnsi="Arial" w:cs="Arial"/>
              </w:rPr>
              <w:t>Recommendation</w:t>
            </w:r>
          </w:p>
        </w:tc>
      </w:tr>
      <w:tr w:rsidR="00B14810" w:rsidRPr="00BD2DEA" w14:paraId="709BBA6D" w14:textId="77777777" w:rsidTr="00BD2DEA">
        <w:trPr>
          <w:trHeight w:val="5378"/>
        </w:trPr>
        <w:tc>
          <w:tcPr>
            <w:tcW w:w="9273" w:type="dxa"/>
          </w:tcPr>
          <w:p w14:paraId="35F61E63" w14:textId="77777777" w:rsidR="00B14810" w:rsidRPr="00BD2DEA" w:rsidRDefault="00B14810" w:rsidP="00637F4A">
            <w:pPr>
              <w:rPr>
                <w:rFonts w:ascii="Arial" w:hAnsi="Arial" w:cs="Arial"/>
              </w:rPr>
            </w:pPr>
            <w:r w:rsidRPr="00BD2DEA">
              <w:rPr>
                <w:rFonts w:ascii="Arial" w:hAnsi="Arial" w:cs="Arial"/>
              </w:rPr>
              <w:t>Mild cases which cause no loss of function require no treatment or avoidance of activities which precipitate triggering and may resolve spontaneously.</w:t>
            </w:r>
          </w:p>
          <w:p w14:paraId="3DF87F7A" w14:textId="77777777" w:rsidR="00B14810" w:rsidRPr="00BD2DEA" w:rsidRDefault="00B14810" w:rsidP="00637F4A">
            <w:pPr>
              <w:rPr>
                <w:rFonts w:ascii="Arial" w:hAnsi="Arial" w:cs="Arial"/>
              </w:rPr>
            </w:pPr>
          </w:p>
          <w:p w14:paraId="013F380D" w14:textId="77777777" w:rsidR="00B14810" w:rsidRPr="00BD2DEA" w:rsidRDefault="00B14810" w:rsidP="00637F4A">
            <w:pPr>
              <w:rPr>
                <w:rFonts w:ascii="Arial" w:hAnsi="Arial" w:cs="Arial"/>
              </w:rPr>
            </w:pPr>
            <w:r w:rsidRPr="00BD2DEA">
              <w:rPr>
                <w:rFonts w:ascii="Arial" w:hAnsi="Arial" w:cs="Arial"/>
              </w:rPr>
              <w:t>Cases interfering with activities or causing pain should first be treated with:</w:t>
            </w:r>
          </w:p>
          <w:p w14:paraId="7155FE32" w14:textId="77777777" w:rsidR="00B14810" w:rsidRPr="00BD2DEA" w:rsidRDefault="00B14810" w:rsidP="00637F4A">
            <w:pPr>
              <w:rPr>
                <w:rFonts w:ascii="Arial" w:hAnsi="Arial" w:cs="Arial"/>
              </w:rPr>
            </w:pPr>
            <w:r w:rsidRPr="00BD2DEA">
              <w:rPr>
                <w:rFonts w:ascii="Arial" w:hAnsi="Arial" w:cs="Arial"/>
              </w:rPr>
              <w:t>one or two steroid injections which are typically successful (strong evidence), but the problem may recur, especially in diabetics;</w:t>
            </w:r>
          </w:p>
          <w:p w14:paraId="0B05BC34" w14:textId="77777777" w:rsidR="00B14810" w:rsidRPr="00BD2DEA" w:rsidRDefault="00B14810" w:rsidP="00637F4A">
            <w:pPr>
              <w:rPr>
                <w:rFonts w:ascii="Arial" w:hAnsi="Arial" w:cs="Arial"/>
              </w:rPr>
            </w:pPr>
            <w:r w:rsidRPr="00BD2DEA">
              <w:rPr>
                <w:rFonts w:ascii="Arial" w:hAnsi="Arial" w:cs="Arial"/>
              </w:rPr>
              <w:t>or</w:t>
            </w:r>
          </w:p>
          <w:p w14:paraId="7611D574" w14:textId="77777777" w:rsidR="00B14810" w:rsidRPr="00BD2DEA" w:rsidRDefault="00B14810" w:rsidP="00637F4A">
            <w:pPr>
              <w:rPr>
                <w:rFonts w:ascii="Arial" w:hAnsi="Arial" w:cs="Arial"/>
              </w:rPr>
            </w:pPr>
            <w:r w:rsidRPr="00BD2DEA">
              <w:rPr>
                <w:rFonts w:ascii="Arial" w:hAnsi="Arial" w:cs="Arial"/>
              </w:rPr>
              <w:t>splinting of the affected finger for 3-12 weeks (weak evidence).</w:t>
            </w:r>
          </w:p>
          <w:p w14:paraId="2536B6AF" w14:textId="77777777" w:rsidR="00B14810" w:rsidRPr="00BD2DEA" w:rsidRDefault="00B14810" w:rsidP="00637F4A">
            <w:pPr>
              <w:rPr>
                <w:rFonts w:ascii="Arial" w:hAnsi="Arial" w:cs="Arial"/>
              </w:rPr>
            </w:pPr>
          </w:p>
          <w:p w14:paraId="3F0B0EA6" w14:textId="77777777" w:rsidR="00B14810" w:rsidRPr="00BD2DEA" w:rsidRDefault="00B14810" w:rsidP="00637F4A">
            <w:pPr>
              <w:rPr>
                <w:rFonts w:ascii="Arial" w:hAnsi="Arial" w:cs="Arial"/>
              </w:rPr>
            </w:pPr>
            <w:r w:rsidRPr="00BD2DEA">
              <w:rPr>
                <w:rFonts w:ascii="Arial" w:hAnsi="Arial" w:cs="Arial"/>
              </w:rPr>
              <w:t>Surgery should be considered if:</w:t>
            </w:r>
          </w:p>
          <w:p w14:paraId="263DBD30" w14:textId="77777777" w:rsidR="00B14810" w:rsidRPr="00BD2DEA" w:rsidRDefault="00B14810" w:rsidP="00637F4A">
            <w:pPr>
              <w:rPr>
                <w:rFonts w:ascii="Arial" w:hAnsi="Arial" w:cs="Arial"/>
              </w:rPr>
            </w:pPr>
            <w:r w:rsidRPr="00BD2DEA">
              <w:rPr>
                <w:rFonts w:ascii="Arial" w:hAnsi="Arial" w:cs="Arial"/>
              </w:rPr>
              <w:t>the triggering persists or recurs after one of the above measures (particularly steroid injections);</w:t>
            </w:r>
          </w:p>
          <w:p w14:paraId="298FADD6" w14:textId="77777777" w:rsidR="00B14810" w:rsidRPr="00BD2DEA" w:rsidRDefault="00B14810" w:rsidP="00637F4A">
            <w:pPr>
              <w:rPr>
                <w:rFonts w:ascii="Arial" w:hAnsi="Arial" w:cs="Arial"/>
              </w:rPr>
            </w:pPr>
            <w:r w:rsidRPr="00BD2DEA">
              <w:rPr>
                <w:rFonts w:ascii="Arial" w:hAnsi="Arial" w:cs="Arial"/>
              </w:rPr>
              <w:t>or</w:t>
            </w:r>
          </w:p>
          <w:p w14:paraId="080CA497" w14:textId="77777777" w:rsidR="00B14810" w:rsidRPr="00BD2DEA" w:rsidRDefault="00B14810" w:rsidP="00637F4A">
            <w:pPr>
              <w:rPr>
                <w:rFonts w:ascii="Arial" w:hAnsi="Arial" w:cs="Arial"/>
              </w:rPr>
            </w:pPr>
            <w:r w:rsidRPr="00BD2DEA">
              <w:rPr>
                <w:rFonts w:ascii="Arial" w:hAnsi="Arial" w:cs="Arial"/>
              </w:rPr>
              <w:t>the finger is permanently locked in the palm;</w:t>
            </w:r>
          </w:p>
          <w:p w14:paraId="6812F105" w14:textId="77777777" w:rsidR="00B14810" w:rsidRPr="00BD2DEA" w:rsidRDefault="00B14810" w:rsidP="00637F4A">
            <w:pPr>
              <w:rPr>
                <w:rFonts w:ascii="Arial" w:hAnsi="Arial" w:cs="Arial"/>
              </w:rPr>
            </w:pPr>
            <w:r w:rsidRPr="00BD2DEA">
              <w:rPr>
                <w:rFonts w:ascii="Arial" w:hAnsi="Arial" w:cs="Arial"/>
              </w:rPr>
              <w:t>or</w:t>
            </w:r>
          </w:p>
          <w:p w14:paraId="39B5478D" w14:textId="77777777" w:rsidR="00B14810" w:rsidRPr="00BD2DEA" w:rsidRDefault="00B14810" w:rsidP="00637F4A">
            <w:pPr>
              <w:rPr>
                <w:rFonts w:ascii="Arial" w:hAnsi="Arial" w:cs="Arial"/>
              </w:rPr>
            </w:pPr>
            <w:r w:rsidRPr="00BD2DEA">
              <w:rPr>
                <w:rFonts w:ascii="Arial" w:hAnsi="Arial" w:cs="Arial"/>
              </w:rPr>
              <w:t>the patient has previously had 2 other trigger digits unsuccessfully treated with appropriate nonoperative methods;</w:t>
            </w:r>
          </w:p>
          <w:p w14:paraId="7A86B3ED" w14:textId="77777777" w:rsidR="00B14810" w:rsidRPr="00BD2DEA" w:rsidRDefault="00B14810" w:rsidP="00637F4A">
            <w:pPr>
              <w:rPr>
                <w:rFonts w:ascii="Arial" w:hAnsi="Arial" w:cs="Arial"/>
              </w:rPr>
            </w:pPr>
            <w:r w:rsidRPr="00BD2DEA">
              <w:rPr>
                <w:rFonts w:ascii="Arial" w:hAnsi="Arial" w:cs="Arial"/>
              </w:rPr>
              <w:t>or</w:t>
            </w:r>
          </w:p>
          <w:p w14:paraId="1CB184C9" w14:textId="77777777" w:rsidR="00B14810" w:rsidRPr="00BD2DEA" w:rsidRDefault="00B14810" w:rsidP="00637F4A">
            <w:pPr>
              <w:rPr>
                <w:rFonts w:ascii="Arial" w:hAnsi="Arial" w:cs="Arial"/>
              </w:rPr>
            </w:pPr>
            <w:r w:rsidRPr="00BD2DEA">
              <w:rPr>
                <w:rFonts w:ascii="Arial" w:hAnsi="Arial" w:cs="Arial"/>
              </w:rPr>
              <w:t>diabetics.</w:t>
            </w:r>
          </w:p>
          <w:p w14:paraId="613FC5E5" w14:textId="77777777" w:rsidR="00B14810" w:rsidRPr="00BD2DEA" w:rsidRDefault="00B14810" w:rsidP="00637F4A">
            <w:pPr>
              <w:rPr>
                <w:rFonts w:ascii="Arial" w:hAnsi="Arial" w:cs="Arial"/>
              </w:rPr>
            </w:pPr>
          </w:p>
          <w:p w14:paraId="6697C8D7" w14:textId="77777777" w:rsidR="00B14810" w:rsidRDefault="00B14810" w:rsidP="00637F4A">
            <w:pPr>
              <w:rPr>
                <w:rFonts w:ascii="Arial" w:hAnsi="Arial" w:cs="Arial"/>
              </w:rPr>
            </w:pPr>
            <w:r w:rsidRPr="00BD2DEA">
              <w:rPr>
                <w:rFonts w:ascii="Arial" w:hAnsi="Arial" w:cs="Arial"/>
              </w:rPr>
              <w:t>Surgery is usually effective and requires a small skin incision in the palm, but can be done with a needle through a puncture wound (percutaneous release).</w:t>
            </w:r>
          </w:p>
          <w:p w14:paraId="6800DA76" w14:textId="77777777" w:rsidR="00BD2DEA" w:rsidRDefault="00BD2DEA" w:rsidP="00637F4A">
            <w:pPr>
              <w:rPr>
                <w:rFonts w:ascii="Arial" w:hAnsi="Arial" w:cs="Arial"/>
              </w:rPr>
            </w:pPr>
          </w:p>
          <w:p w14:paraId="03C9D276" w14:textId="77777777" w:rsidR="00BD2DEA" w:rsidRPr="00BD2DEA" w:rsidRDefault="00BD2DEA" w:rsidP="00637F4A">
            <w:pPr>
              <w:rPr>
                <w:rFonts w:ascii="Arial" w:hAnsi="Arial" w:cs="Arial"/>
              </w:rPr>
            </w:pPr>
          </w:p>
        </w:tc>
      </w:tr>
      <w:tr w:rsidR="00B14810" w:rsidRPr="00BD2DEA" w14:paraId="77A9998F" w14:textId="77777777" w:rsidTr="00BD2DEA">
        <w:trPr>
          <w:trHeight w:val="278"/>
        </w:trPr>
        <w:tc>
          <w:tcPr>
            <w:tcW w:w="9273" w:type="dxa"/>
            <w:shd w:val="clear" w:color="auto" w:fill="16365D"/>
          </w:tcPr>
          <w:p w14:paraId="214BE554" w14:textId="77777777" w:rsidR="00B14810" w:rsidRPr="00BD2DEA" w:rsidRDefault="00B14810" w:rsidP="00637F4A">
            <w:pPr>
              <w:rPr>
                <w:rFonts w:ascii="Arial" w:hAnsi="Arial" w:cs="Arial"/>
              </w:rPr>
            </w:pPr>
            <w:r w:rsidRPr="00BD2DEA">
              <w:rPr>
                <w:rFonts w:ascii="Arial" w:hAnsi="Arial" w:cs="Arial"/>
              </w:rPr>
              <w:lastRenderedPageBreak/>
              <w:t>Rationale for recommendation</w:t>
            </w:r>
          </w:p>
        </w:tc>
      </w:tr>
      <w:tr w:rsidR="00B14810" w:rsidRPr="00BD2DEA" w14:paraId="1D92A509" w14:textId="77777777" w:rsidTr="00BD2DEA">
        <w:trPr>
          <w:trHeight w:val="1422"/>
        </w:trPr>
        <w:tc>
          <w:tcPr>
            <w:tcW w:w="9273" w:type="dxa"/>
          </w:tcPr>
          <w:p w14:paraId="4074FF2E" w14:textId="77777777" w:rsidR="00B14810" w:rsidRPr="00BD2DEA" w:rsidRDefault="00B14810" w:rsidP="00637F4A">
            <w:pPr>
              <w:rPr>
                <w:rFonts w:ascii="Arial" w:hAnsi="Arial" w:cs="Arial"/>
              </w:rPr>
            </w:pPr>
            <w:r w:rsidRPr="00BD2DEA">
              <w:rPr>
                <w:rFonts w:ascii="Arial" w:hAnsi="Arial" w:cs="Arial"/>
                <w:noProof/>
                <w:lang w:val="en-GB" w:eastAsia="en-GB"/>
              </w:rPr>
              <mc:AlternateContent>
                <mc:Choice Requires="wps">
                  <w:drawing>
                    <wp:anchor distT="0" distB="0" distL="114300" distR="114300" simplePos="0" relativeHeight="251659264" behindDoc="1" locked="0" layoutInCell="1" allowOverlap="1" wp14:anchorId="19B43D48" wp14:editId="329FA9A1">
                      <wp:simplePos x="0" y="0"/>
                      <wp:positionH relativeFrom="page">
                        <wp:posOffset>2228215</wp:posOffset>
                      </wp:positionH>
                      <wp:positionV relativeFrom="page">
                        <wp:posOffset>5097780</wp:posOffset>
                      </wp:positionV>
                      <wp:extent cx="42545" cy="10795"/>
                      <wp:effectExtent l="0" t="1905"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3143B" id="Rectangle 2" o:spid="_x0000_s1026" style="position:absolute;margin-left:175.45pt;margin-top:401.4pt;width:3.35pt;height:.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" fillcolor="black" stroked="f">
                      <w10:wrap anchorx="page" anchory="page"/>
                    </v:rect>
                  </w:pict>
                </mc:Fallback>
              </mc:AlternateContent>
            </w:r>
            <w:r w:rsidRPr="00BD2DEA">
              <w:rPr>
                <w:rFonts w:ascii="Arial" w:hAnsi="Arial" w:cs="Arial"/>
                <w:noProof/>
                <w:lang w:val="en-GB" w:eastAsia="en-GB"/>
              </w:rPr>
              <mc:AlternateContent>
                <mc:Choice Requires="wps">
                  <w:drawing>
                    <wp:anchor distT="0" distB="0" distL="114300" distR="114300" simplePos="0" relativeHeight="251660288" behindDoc="1" locked="0" layoutInCell="1" allowOverlap="1" wp14:anchorId="323B615A" wp14:editId="2B1287B3">
                      <wp:simplePos x="0" y="0"/>
                      <wp:positionH relativeFrom="page">
                        <wp:posOffset>2450465</wp:posOffset>
                      </wp:positionH>
                      <wp:positionV relativeFrom="page">
                        <wp:posOffset>5097780</wp:posOffset>
                      </wp:positionV>
                      <wp:extent cx="42545" cy="10795"/>
                      <wp:effectExtent l="2540" t="1905"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13FF6" id="Rectangle 1" o:spid="_x0000_s1026" style="position:absolute;margin-left:192.95pt;margin-top:401.4pt;width:3.35pt;height:.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" fillcolor="black" stroked="f">
                      <w10:wrap anchorx="page" anchory="page"/>
                    </v:rect>
                  </w:pict>
                </mc:Fallback>
              </mc:AlternateContent>
            </w:r>
            <w:r w:rsidRPr="00BD2DEA">
              <w:rPr>
                <w:rFonts w:ascii="Arial" w:hAnsi="Arial" w:cs="Arial"/>
              </w:rPr>
              <w:t>Treatment with steroid injections usually resolve troublesome trigger fingers within 1 week (strong evidence) but sometimes the triggering keeps recurring. Surgery is normally successful (strong evidence), provides better outcomes than a single steroid injection at 1 year and usually provides a permanent cure. Recovery after surgery takes 2-4 weeks. Problems sometimes occur after surgery, but these are rare (&lt;3%).</w:t>
            </w:r>
          </w:p>
          <w:p w14:paraId="636E67D8" w14:textId="77777777" w:rsidR="00B14810" w:rsidRPr="00BD2DEA" w:rsidRDefault="00B14810" w:rsidP="00BD2DEA">
            <w:pPr>
              <w:rPr>
                <w:rFonts w:ascii="Arial" w:hAnsi="Arial" w:cs="Arial"/>
              </w:rPr>
            </w:pPr>
          </w:p>
        </w:tc>
      </w:tr>
      <w:tr w:rsidR="00BD2DEA" w:rsidRPr="00BD2DEA" w14:paraId="1BCC9C64" w14:textId="77777777" w:rsidTr="00BD2DEA">
        <w:trPr>
          <w:trHeight w:val="322"/>
        </w:trPr>
        <w:tc>
          <w:tcPr>
            <w:tcW w:w="9273" w:type="dxa"/>
            <w:shd w:val="clear" w:color="auto" w:fill="244061" w:themeFill="accent1" w:themeFillShade="80"/>
          </w:tcPr>
          <w:p w14:paraId="1DD1FC66" w14:textId="77777777" w:rsidR="00BD2DEA" w:rsidRPr="00BD2DEA" w:rsidRDefault="00BD2DEA" w:rsidP="00637F4A">
            <w:pPr>
              <w:rPr>
                <w:rFonts w:ascii="Arial" w:hAnsi="Arial" w:cs="Arial"/>
              </w:rPr>
            </w:pPr>
            <w:r w:rsidRPr="00BD2DEA">
              <w:rPr>
                <w:rFonts w:ascii="Arial" w:hAnsi="Arial" w:cs="Arial"/>
              </w:rPr>
              <w:t>References</w:t>
            </w:r>
          </w:p>
        </w:tc>
      </w:tr>
      <w:tr w:rsidR="00BD2DEA" w:rsidRPr="00BD2DEA" w14:paraId="4607853F" w14:textId="77777777" w:rsidTr="00BD2DEA">
        <w:trPr>
          <w:trHeight w:val="1262"/>
        </w:trPr>
        <w:tc>
          <w:tcPr>
            <w:tcW w:w="9273" w:type="dxa"/>
          </w:tcPr>
          <w:p w14:paraId="139858CF" w14:textId="77777777" w:rsidR="00BD2DEA" w:rsidRPr="00BD2DEA" w:rsidRDefault="00BD2DEA" w:rsidP="00BD2DEA">
            <w:pPr>
              <w:rPr>
                <w:rFonts w:ascii="Arial" w:hAnsi="Arial" w:cs="Arial"/>
              </w:rPr>
            </w:pPr>
            <w:r w:rsidRPr="00BD2DEA">
              <w:rPr>
                <w:rFonts w:ascii="Arial" w:hAnsi="Arial" w:cs="Arial"/>
              </w:rPr>
              <w:t>https://</w:t>
            </w:r>
            <w:hyperlink r:id="rId8">
              <w:r w:rsidRPr="00BD2DEA">
                <w:rPr>
                  <w:rStyle w:val="Hyperlink"/>
                  <w:rFonts w:ascii="Arial" w:hAnsi="Arial" w:cs="Arial"/>
                </w:rPr>
                <w:t>www.nhs.uk/conditions/trigger-finger/treatment/</w:t>
              </w:r>
            </w:hyperlink>
          </w:p>
          <w:p w14:paraId="5693C4AE" w14:textId="77777777" w:rsidR="00BD2DEA" w:rsidRPr="00BD2DEA" w:rsidRDefault="00BD2DEA" w:rsidP="00BD2DEA">
            <w:pPr>
              <w:rPr>
                <w:rFonts w:ascii="Arial" w:hAnsi="Arial" w:cs="Arial"/>
              </w:rPr>
            </w:pPr>
            <w:proofErr w:type="spellStart"/>
            <w:r w:rsidRPr="00BD2DEA">
              <w:rPr>
                <w:rFonts w:ascii="Arial" w:hAnsi="Arial" w:cs="Arial"/>
              </w:rPr>
              <w:t>Amirfeyz</w:t>
            </w:r>
            <w:proofErr w:type="spellEnd"/>
            <w:r w:rsidRPr="00BD2DEA">
              <w:rPr>
                <w:rFonts w:ascii="Arial" w:hAnsi="Arial" w:cs="Arial"/>
              </w:rPr>
              <w:t xml:space="preserve"> R, McNinch R, Watts A, Rodrigues J, Davis </w:t>
            </w:r>
            <w:proofErr w:type="spellStart"/>
            <w:r w:rsidRPr="00BD2DEA">
              <w:rPr>
                <w:rFonts w:ascii="Arial" w:hAnsi="Arial" w:cs="Arial"/>
              </w:rPr>
              <w:t>TRC</w:t>
            </w:r>
            <w:proofErr w:type="spellEnd"/>
            <w:r w:rsidRPr="00BD2DEA">
              <w:rPr>
                <w:rFonts w:ascii="Arial" w:hAnsi="Arial" w:cs="Arial"/>
              </w:rPr>
              <w:t xml:space="preserve">, Glassey N, Bullock J. Evidence-based management of adult trigger digits. J Hand Surg </w:t>
            </w:r>
            <w:proofErr w:type="spellStart"/>
            <w:r w:rsidRPr="00BD2DEA">
              <w:rPr>
                <w:rFonts w:ascii="Arial" w:hAnsi="Arial" w:cs="Arial"/>
              </w:rPr>
              <w:t>Eur</w:t>
            </w:r>
            <w:proofErr w:type="spellEnd"/>
            <w:r w:rsidRPr="00BD2DEA">
              <w:rPr>
                <w:rFonts w:ascii="Arial" w:hAnsi="Arial" w:cs="Arial"/>
              </w:rPr>
              <w:t xml:space="preserve"> Vol. 2017 Jun;42(5):473-480. </w:t>
            </w:r>
            <w:proofErr w:type="spellStart"/>
            <w:r w:rsidRPr="00BD2DEA">
              <w:rPr>
                <w:rFonts w:ascii="Arial" w:hAnsi="Arial" w:cs="Arial"/>
              </w:rPr>
              <w:t>doi</w:t>
            </w:r>
            <w:proofErr w:type="spellEnd"/>
            <w:r w:rsidRPr="00BD2DEA">
              <w:rPr>
                <w:rFonts w:ascii="Arial" w:hAnsi="Arial" w:cs="Arial"/>
              </w:rPr>
              <w:t xml:space="preserve">: 10.1177/1753193416682917. </w:t>
            </w:r>
            <w:proofErr w:type="spellStart"/>
            <w:r w:rsidRPr="00BD2DEA">
              <w:rPr>
                <w:rFonts w:ascii="Arial" w:hAnsi="Arial" w:cs="Arial"/>
              </w:rPr>
              <w:t>Epub</w:t>
            </w:r>
            <w:proofErr w:type="spellEnd"/>
            <w:r w:rsidRPr="00BD2DEA">
              <w:rPr>
                <w:rFonts w:ascii="Arial" w:hAnsi="Arial" w:cs="Arial"/>
              </w:rPr>
              <w:t xml:space="preserve"> 2016 Dec 21.</w:t>
            </w:r>
          </w:p>
          <w:p w14:paraId="7DED2BFC" w14:textId="77777777" w:rsidR="00BD2DEA" w:rsidRPr="00BD2DEA" w:rsidRDefault="00BD2DEA" w:rsidP="00BD2DEA">
            <w:pPr>
              <w:rPr>
                <w:rFonts w:ascii="Arial" w:hAnsi="Arial" w:cs="Arial"/>
              </w:rPr>
            </w:pPr>
            <w:r w:rsidRPr="00BD2DEA">
              <w:rPr>
                <w:rFonts w:ascii="Arial" w:hAnsi="Arial" w:cs="Arial"/>
              </w:rPr>
              <w:t>British Society for Surgery of the Hand Evidence for Surgical Treatment (BEST).</w:t>
            </w:r>
            <w:hyperlink r:id="rId9">
              <w:r w:rsidRPr="00BD2DEA">
                <w:rPr>
                  <w:rStyle w:val="Hyperlink"/>
                  <w:rFonts w:ascii="Arial" w:hAnsi="Arial" w:cs="Arial"/>
                </w:rPr>
                <w:t xml:space="preserve"> http://www.bssh.ac.uk/_userfiles/pages/files/professionals/BEST%20Guideli</w:t>
              </w:r>
            </w:hyperlink>
            <w:r w:rsidRPr="00BD2DEA">
              <w:rPr>
                <w:rFonts w:ascii="Arial" w:hAnsi="Arial" w:cs="Arial"/>
              </w:rPr>
              <w:t xml:space="preserve"> </w:t>
            </w:r>
            <w:proofErr w:type="spellStart"/>
            <w:r w:rsidRPr="00BD2DEA">
              <w:rPr>
                <w:rFonts w:ascii="Arial" w:hAnsi="Arial" w:cs="Arial"/>
              </w:rPr>
              <w:t>nes</w:t>
            </w:r>
            <w:proofErr w:type="spellEnd"/>
            <w:r w:rsidRPr="00BD2DEA">
              <w:rPr>
                <w:rFonts w:ascii="Arial" w:hAnsi="Arial" w:cs="Arial"/>
              </w:rPr>
              <w:t>/BEST%20trigger%20finger%20PUBLISHED(1).pdf</w:t>
            </w:r>
          </w:p>
          <w:p w14:paraId="0EBD6E84" w14:textId="77777777" w:rsidR="00BD2DEA" w:rsidRPr="00BD2DEA" w:rsidRDefault="00BD2DEA" w:rsidP="00BD2DEA">
            <w:pPr>
              <w:rPr>
                <w:rFonts w:ascii="Arial" w:hAnsi="Arial" w:cs="Arial"/>
              </w:rPr>
            </w:pPr>
            <w:r w:rsidRPr="00BD2DEA">
              <w:rPr>
                <w:rFonts w:ascii="Arial" w:hAnsi="Arial" w:cs="Arial"/>
              </w:rPr>
              <w:t xml:space="preserve">Chang CJ, Chang SP, Kao LT, Tai TW, </w:t>
            </w:r>
            <w:proofErr w:type="spellStart"/>
            <w:r w:rsidRPr="00BD2DEA">
              <w:rPr>
                <w:rFonts w:ascii="Arial" w:hAnsi="Arial" w:cs="Arial"/>
              </w:rPr>
              <w:t>Jou</w:t>
            </w:r>
            <w:proofErr w:type="spellEnd"/>
            <w:r w:rsidRPr="00BD2DEA">
              <w:rPr>
                <w:rFonts w:ascii="Arial" w:hAnsi="Arial" w:cs="Arial"/>
              </w:rPr>
              <w:t xml:space="preserve"> IM. A meta-analysis of corticosteroid injection for trigger digits among patients with diabetes. Orthopedics. 2018, 41: e8-e14.</w:t>
            </w:r>
          </w:p>
          <w:p w14:paraId="14457D1F" w14:textId="77777777" w:rsidR="00BD2DEA" w:rsidRPr="00BD2DEA" w:rsidRDefault="00BD2DEA" w:rsidP="00BD2DEA">
            <w:pPr>
              <w:rPr>
                <w:rFonts w:ascii="Arial" w:hAnsi="Arial" w:cs="Arial"/>
              </w:rPr>
            </w:pPr>
            <w:proofErr w:type="spellStart"/>
            <w:r w:rsidRPr="00BD2DEA">
              <w:rPr>
                <w:rFonts w:ascii="Arial" w:hAnsi="Arial" w:cs="Arial"/>
              </w:rPr>
              <w:t>Everding</w:t>
            </w:r>
            <w:proofErr w:type="spellEnd"/>
            <w:r w:rsidRPr="00BD2DEA">
              <w:rPr>
                <w:rFonts w:ascii="Arial" w:hAnsi="Arial" w:cs="Arial"/>
              </w:rPr>
              <w:t xml:space="preserve"> NG, Bishop GB, </w:t>
            </w:r>
            <w:proofErr w:type="spellStart"/>
            <w:r w:rsidRPr="00BD2DEA">
              <w:rPr>
                <w:rFonts w:ascii="Arial" w:hAnsi="Arial" w:cs="Arial"/>
              </w:rPr>
              <w:t>Belyea</w:t>
            </w:r>
            <w:proofErr w:type="spellEnd"/>
            <w:r w:rsidRPr="00BD2DEA">
              <w:rPr>
                <w:rFonts w:ascii="Arial" w:hAnsi="Arial" w:cs="Arial"/>
              </w:rPr>
              <w:t xml:space="preserve"> CM, Soong MC. Risk factors for complications of open trigger finger release. Hand (N Y). 2015, 10: 297-300.</w:t>
            </w:r>
          </w:p>
          <w:p w14:paraId="48DDC675" w14:textId="77777777" w:rsidR="00BD2DEA" w:rsidRPr="00BD2DEA" w:rsidRDefault="00BD2DEA" w:rsidP="00BD2DEA">
            <w:pPr>
              <w:rPr>
                <w:rFonts w:ascii="Arial" w:hAnsi="Arial" w:cs="Arial"/>
              </w:rPr>
            </w:pPr>
            <w:proofErr w:type="spellStart"/>
            <w:r w:rsidRPr="00BD2DEA">
              <w:rPr>
                <w:rFonts w:ascii="Arial" w:hAnsi="Arial" w:cs="Arial"/>
              </w:rPr>
              <w:t>Fiorini</w:t>
            </w:r>
            <w:proofErr w:type="spellEnd"/>
            <w:r w:rsidRPr="00BD2DEA">
              <w:rPr>
                <w:rFonts w:ascii="Arial" w:hAnsi="Arial" w:cs="Arial"/>
              </w:rPr>
              <w:t xml:space="preserve"> </w:t>
            </w:r>
            <w:proofErr w:type="spellStart"/>
            <w:r w:rsidRPr="00BD2DEA">
              <w:rPr>
                <w:rFonts w:ascii="Arial" w:hAnsi="Arial" w:cs="Arial"/>
              </w:rPr>
              <w:t>HJ</w:t>
            </w:r>
            <w:proofErr w:type="spellEnd"/>
            <w:r w:rsidRPr="00BD2DEA">
              <w:rPr>
                <w:rFonts w:ascii="Arial" w:hAnsi="Arial" w:cs="Arial"/>
              </w:rPr>
              <w:t xml:space="preserve">, </w:t>
            </w:r>
            <w:proofErr w:type="spellStart"/>
            <w:r w:rsidRPr="00BD2DEA">
              <w:rPr>
                <w:rFonts w:ascii="Arial" w:hAnsi="Arial" w:cs="Arial"/>
              </w:rPr>
              <w:t>Tamaoki</w:t>
            </w:r>
            <w:proofErr w:type="spellEnd"/>
            <w:r w:rsidRPr="00BD2DEA">
              <w:rPr>
                <w:rFonts w:ascii="Arial" w:hAnsi="Arial" w:cs="Arial"/>
              </w:rPr>
              <w:t xml:space="preserve"> MJ, </w:t>
            </w:r>
            <w:proofErr w:type="spellStart"/>
            <w:r w:rsidRPr="00BD2DEA">
              <w:rPr>
                <w:rFonts w:ascii="Arial" w:hAnsi="Arial" w:cs="Arial"/>
              </w:rPr>
              <w:t>Lenza</w:t>
            </w:r>
            <w:proofErr w:type="spellEnd"/>
            <w:r w:rsidRPr="00BD2DEA">
              <w:rPr>
                <w:rFonts w:ascii="Arial" w:hAnsi="Arial" w:cs="Arial"/>
              </w:rPr>
              <w:t xml:space="preserve"> M, Gomes Dos Santos JB, </w:t>
            </w:r>
            <w:proofErr w:type="spellStart"/>
            <w:r w:rsidRPr="00BD2DEA">
              <w:rPr>
                <w:rFonts w:ascii="Arial" w:hAnsi="Arial" w:cs="Arial"/>
              </w:rPr>
              <w:t>Faloppa</w:t>
            </w:r>
            <w:proofErr w:type="spellEnd"/>
            <w:r w:rsidRPr="00BD2DEA">
              <w:rPr>
                <w:rFonts w:ascii="Arial" w:hAnsi="Arial" w:cs="Arial"/>
              </w:rPr>
              <w:t xml:space="preserve"> F, </w:t>
            </w:r>
            <w:proofErr w:type="spellStart"/>
            <w:r w:rsidRPr="00BD2DEA">
              <w:rPr>
                <w:rFonts w:ascii="Arial" w:hAnsi="Arial" w:cs="Arial"/>
              </w:rPr>
              <w:t>Belloti</w:t>
            </w:r>
            <w:proofErr w:type="spellEnd"/>
            <w:r w:rsidRPr="00BD2DEA">
              <w:rPr>
                <w:rFonts w:ascii="Arial" w:hAnsi="Arial" w:cs="Arial"/>
              </w:rPr>
              <w:t xml:space="preserve"> JC. Surgery for trigger finger. Cochrane Database Syst Rev. 2018 Feb 20;2:CD009860. </w:t>
            </w:r>
            <w:proofErr w:type="spellStart"/>
            <w:r w:rsidRPr="00BD2DEA">
              <w:rPr>
                <w:rFonts w:ascii="Arial" w:hAnsi="Arial" w:cs="Arial"/>
              </w:rPr>
              <w:t>doi</w:t>
            </w:r>
            <w:proofErr w:type="spellEnd"/>
            <w:r w:rsidRPr="00BD2DEA">
              <w:rPr>
                <w:rFonts w:ascii="Arial" w:hAnsi="Arial" w:cs="Arial"/>
              </w:rPr>
              <w:t>: 10.1002/14651858.CD009860.pub2. Review.</w:t>
            </w:r>
          </w:p>
          <w:p w14:paraId="7F13592E" w14:textId="77777777" w:rsidR="00BD2DEA" w:rsidRPr="00BD2DEA" w:rsidRDefault="00BD2DEA" w:rsidP="00BD2DEA">
            <w:pPr>
              <w:rPr>
                <w:rFonts w:ascii="Arial" w:hAnsi="Arial" w:cs="Arial"/>
              </w:rPr>
            </w:pPr>
            <w:r w:rsidRPr="00BD2DEA">
              <w:rPr>
                <w:rFonts w:ascii="Arial" w:hAnsi="Arial" w:cs="Arial"/>
              </w:rPr>
              <w:t xml:space="preserve">Hansen </w:t>
            </w:r>
            <w:proofErr w:type="spellStart"/>
            <w:r w:rsidRPr="00BD2DEA">
              <w:rPr>
                <w:rFonts w:ascii="Arial" w:hAnsi="Arial" w:cs="Arial"/>
              </w:rPr>
              <w:t>RL</w:t>
            </w:r>
            <w:proofErr w:type="spellEnd"/>
            <w:r w:rsidRPr="00BD2DEA">
              <w:rPr>
                <w:rFonts w:ascii="Arial" w:hAnsi="Arial" w:cs="Arial"/>
              </w:rPr>
              <w:t xml:space="preserve">, </w:t>
            </w:r>
            <w:proofErr w:type="spellStart"/>
            <w:r w:rsidRPr="00BD2DEA">
              <w:rPr>
                <w:rFonts w:ascii="Arial" w:hAnsi="Arial" w:cs="Arial"/>
              </w:rPr>
              <w:t>Sondergaard</w:t>
            </w:r>
            <w:proofErr w:type="spellEnd"/>
            <w:r w:rsidRPr="00BD2DEA">
              <w:rPr>
                <w:rFonts w:ascii="Arial" w:hAnsi="Arial" w:cs="Arial"/>
              </w:rPr>
              <w:t xml:space="preserve"> M, Lange J. Open Surgery Versus Ultrasound- Guided Corticosteroid Injection for Trigger Finger: A Randomized Controlled Trial With 1-Year Follow-up. J Hand Surg Am. 2017;42(5):359-66.</w:t>
            </w:r>
          </w:p>
          <w:p w14:paraId="24514262" w14:textId="77777777" w:rsidR="00BD2DEA" w:rsidRPr="00BD2DEA" w:rsidRDefault="00BD2DEA" w:rsidP="00BD2DEA">
            <w:pPr>
              <w:rPr>
                <w:rFonts w:ascii="Arial" w:hAnsi="Arial" w:cs="Arial"/>
              </w:rPr>
            </w:pPr>
            <w:r w:rsidRPr="00BD2DEA">
              <w:rPr>
                <w:rFonts w:ascii="Arial" w:hAnsi="Arial" w:cs="Arial"/>
              </w:rPr>
              <w:t xml:space="preserve">Lunsford D, Valdes K, </w:t>
            </w:r>
            <w:proofErr w:type="spellStart"/>
            <w:r w:rsidRPr="00BD2DEA">
              <w:rPr>
                <w:rFonts w:ascii="Arial" w:hAnsi="Arial" w:cs="Arial"/>
              </w:rPr>
              <w:t>Hengy</w:t>
            </w:r>
            <w:proofErr w:type="spellEnd"/>
            <w:r w:rsidRPr="00BD2DEA">
              <w:rPr>
                <w:rFonts w:ascii="Arial" w:hAnsi="Arial" w:cs="Arial"/>
              </w:rPr>
              <w:t xml:space="preserve"> S. Conservative management of trigger finger: A systematic review. J Hand </w:t>
            </w:r>
            <w:proofErr w:type="spellStart"/>
            <w:r w:rsidRPr="00BD2DEA">
              <w:rPr>
                <w:rFonts w:ascii="Arial" w:hAnsi="Arial" w:cs="Arial"/>
              </w:rPr>
              <w:t>Ther</w:t>
            </w:r>
            <w:proofErr w:type="spellEnd"/>
            <w:r w:rsidRPr="00BD2DEA">
              <w:rPr>
                <w:rFonts w:ascii="Arial" w:hAnsi="Arial" w:cs="Arial"/>
              </w:rPr>
              <w:t>. 2017.</w:t>
            </w:r>
          </w:p>
          <w:p w14:paraId="5C6C6910" w14:textId="77777777" w:rsidR="00BD2DEA" w:rsidRPr="00BD2DEA" w:rsidRDefault="00BD2DEA" w:rsidP="00BD2DEA">
            <w:pPr>
              <w:rPr>
                <w:rFonts w:ascii="Arial" w:hAnsi="Arial" w:cs="Arial"/>
              </w:rPr>
            </w:pPr>
            <w:r w:rsidRPr="00BD2DEA">
              <w:rPr>
                <w:rFonts w:ascii="Arial" w:hAnsi="Arial" w:cs="Arial"/>
              </w:rPr>
              <w:t>Peters-</w:t>
            </w:r>
            <w:proofErr w:type="spellStart"/>
            <w:r w:rsidRPr="00BD2DEA">
              <w:rPr>
                <w:rFonts w:ascii="Arial" w:hAnsi="Arial" w:cs="Arial"/>
              </w:rPr>
              <w:t>Veluthamaningal</w:t>
            </w:r>
            <w:proofErr w:type="spellEnd"/>
            <w:r w:rsidRPr="00BD2DEA">
              <w:rPr>
                <w:rFonts w:ascii="Arial" w:hAnsi="Arial" w:cs="Arial"/>
              </w:rPr>
              <w:t xml:space="preserve"> C, Winters JC, </w:t>
            </w:r>
            <w:proofErr w:type="spellStart"/>
            <w:r w:rsidRPr="00BD2DEA">
              <w:rPr>
                <w:rFonts w:ascii="Arial" w:hAnsi="Arial" w:cs="Arial"/>
              </w:rPr>
              <w:t>Groenier</w:t>
            </w:r>
            <w:proofErr w:type="spellEnd"/>
            <w:r w:rsidRPr="00BD2DEA">
              <w:rPr>
                <w:rFonts w:ascii="Arial" w:hAnsi="Arial" w:cs="Arial"/>
              </w:rPr>
              <w:t xml:space="preserve"> </w:t>
            </w:r>
            <w:proofErr w:type="spellStart"/>
            <w:r w:rsidRPr="00BD2DEA">
              <w:rPr>
                <w:rFonts w:ascii="Arial" w:hAnsi="Arial" w:cs="Arial"/>
              </w:rPr>
              <w:t>KH</w:t>
            </w:r>
            <w:proofErr w:type="spellEnd"/>
            <w:r w:rsidRPr="00BD2DEA">
              <w:rPr>
                <w:rFonts w:ascii="Arial" w:hAnsi="Arial" w:cs="Arial"/>
              </w:rPr>
              <w:t xml:space="preserve">, Jong BM. Corticosteroid injections effective for trigger finger in adults in general practice: a double-blinded </w:t>
            </w:r>
            <w:proofErr w:type="spellStart"/>
            <w:r w:rsidRPr="00BD2DEA">
              <w:rPr>
                <w:rFonts w:ascii="Arial" w:hAnsi="Arial" w:cs="Arial"/>
              </w:rPr>
              <w:t>randomised</w:t>
            </w:r>
            <w:proofErr w:type="spellEnd"/>
            <w:r w:rsidRPr="00BD2DEA">
              <w:rPr>
                <w:rFonts w:ascii="Arial" w:hAnsi="Arial" w:cs="Arial"/>
              </w:rPr>
              <w:t xml:space="preserve"> placebo controlled trial. Ann Rheum Dis. 2008 Sep;67(9):1262-6. </w:t>
            </w:r>
            <w:proofErr w:type="spellStart"/>
            <w:r w:rsidRPr="00BD2DEA">
              <w:rPr>
                <w:rFonts w:ascii="Arial" w:hAnsi="Arial" w:cs="Arial"/>
              </w:rPr>
              <w:t>Epub</w:t>
            </w:r>
            <w:proofErr w:type="spellEnd"/>
            <w:r w:rsidRPr="00BD2DEA">
              <w:rPr>
                <w:rFonts w:ascii="Arial" w:hAnsi="Arial" w:cs="Arial"/>
              </w:rPr>
              <w:t xml:space="preserve"> 2008 Jan 7.</w:t>
            </w:r>
          </w:p>
        </w:tc>
      </w:tr>
    </w:tbl>
    <w:p w14:paraId="298F9416" w14:textId="77777777" w:rsidR="00BD2DEA" w:rsidRDefault="00BD2DEA" w:rsidP="00BD2DEA">
      <w:pPr>
        <w:rPr>
          <w:rFonts w:ascii="Arial" w:hAnsi="Arial" w:cs="Arial"/>
          <w:i/>
          <w:sz w:val="24"/>
        </w:rPr>
      </w:pPr>
    </w:p>
    <w:p w14:paraId="0430CD70" w14:textId="77777777" w:rsidR="00BD2DEA" w:rsidRDefault="00BD2DEA" w:rsidP="00BD2DEA">
      <w:pPr>
        <w:rPr>
          <w:rFonts w:ascii="Arial" w:hAnsi="Arial" w:cs="Arial"/>
          <w:i/>
          <w:sz w:val="24"/>
        </w:rPr>
      </w:pPr>
    </w:p>
    <w:p w14:paraId="5F45F310" w14:textId="77777777" w:rsidR="00BD2DEA" w:rsidRDefault="00BD2DEA" w:rsidP="00BD2DEA">
      <w:pPr>
        <w:rPr>
          <w:rFonts w:ascii="Arial" w:hAnsi="Arial" w:cs="Arial"/>
          <w:i/>
          <w:sz w:val="24"/>
        </w:rPr>
      </w:pPr>
    </w:p>
    <w:p w14:paraId="198AA18E" w14:textId="77777777" w:rsidR="00BD2DEA" w:rsidRPr="0002074D" w:rsidRDefault="00BD2DEA" w:rsidP="00BD2DEA">
      <w:pPr>
        <w:rPr>
          <w:rFonts w:ascii="Arial" w:hAnsi="Arial" w:cs="Arial"/>
          <w:i/>
          <w:sz w:val="24"/>
        </w:rPr>
      </w:pPr>
      <w:r w:rsidRPr="0002074D">
        <w:rPr>
          <w:rFonts w:ascii="Arial" w:hAnsi="Arial" w:cs="Arial"/>
          <w:i/>
          <w:sz w:val="24"/>
        </w:rPr>
        <w:t>Evidence-Based Interventions: Guidance for CCGs</w:t>
      </w:r>
    </w:p>
    <w:p w14:paraId="766477E9" w14:textId="77777777" w:rsidR="00BD2DEA" w:rsidRPr="0002074D" w:rsidRDefault="00BD2DEA" w:rsidP="00BD2DEA">
      <w:pPr>
        <w:rPr>
          <w:rFonts w:ascii="Arial" w:hAnsi="Arial" w:cs="Arial"/>
          <w:i/>
          <w:sz w:val="20"/>
        </w:rPr>
      </w:pPr>
      <w:r w:rsidRPr="0002074D">
        <w:rPr>
          <w:rFonts w:ascii="Arial" w:hAnsi="Arial" w:cs="Arial"/>
          <w:i/>
          <w:sz w:val="20"/>
        </w:rPr>
        <w:t>Published by NHS England in partnership with NHS Clinical Commissioners, the Academy of Medical Royal Colleges, NHS Improvement and the National Institute for Health and Care Excellence</w:t>
      </w:r>
    </w:p>
    <w:p w14:paraId="07590FBF" w14:textId="77777777" w:rsidR="00BD2DEA" w:rsidRPr="0002074D" w:rsidRDefault="00BD2DEA" w:rsidP="00BD2DEA">
      <w:pPr>
        <w:rPr>
          <w:rFonts w:ascii="Arial" w:hAnsi="Arial" w:cs="Arial"/>
          <w:i/>
        </w:rPr>
      </w:pPr>
      <w:r w:rsidRPr="0002074D">
        <w:rPr>
          <w:rFonts w:ascii="Arial" w:hAnsi="Arial" w:cs="Arial"/>
          <w:i/>
        </w:rPr>
        <w:t>Version number: 1</w:t>
      </w:r>
    </w:p>
    <w:p w14:paraId="7EBDCDA7" w14:textId="77777777" w:rsidR="00BD2DEA" w:rsidRPr="0002074D" w:rsidRDefault="00BD2DEA" w:rsidP="00BD2DEA">
      <w:pPr>
        <w:rPr>
          <w:rFonts w:ascii="Arial" w:hAnsi="Arial" w:cs="Arial"/>
          <w:i/>
        </w:rPr>
      </w:pPr>
      <w:r w:rsidRPr="0002074D">
        <w:rPr>
          <w:rFonts w:ascii="Arial" w:hAnsi="Arial" w:cs="Arial"/>
          <w:i/>
        </w:rPr>
        <w:t>First published: 28 November 2018</w:t>
      </w:r>
    </w:p>
    <w:p w14:paraId="52877382" w14:textId="77777777" w:rsidR="00BD2DEA" w:rsidRPr="0002074D" w:rsidRDefault="00BD2DEA" w:rsidP="00BD2DEA">
      <w:pPr>
        <w:rPr>
          <w:rFonts w:ascii="Arial" w:hAnsi="Arial" w:cs="Arial"/>
          <w:i/>
        </w:rPr>
      </w:pPr>
      <w:r w:rsidRPr="0002074D">
        <w:rPr>
          <w:rFonts w:ascii="Arial" w:hAnsi="Arial" w:cs="Arial"/>
          <w:i/>
        </w:rPr>
        <w:t>Prepared by: NHS England Medical directorate and Strategy and Innovation directorate</w:t>
      </w:r>
    </w:p>
    <w:p w14:paraId="3167152C" w14:textId="77777777" w:rsidR="00BD2DEA" w:rsidRPr="0002074D" w:rsidRDefault="00BD2DEA" w:rsidP="00BD2DEA">
      <w:pPr>
        <w:rPr>
          <w:rFonts w:ascii="Arial" w:hAnsi="Arial" w:cs="Arial"/>
          <w:i/>
        </w:rPr>
      </w:pPr>
      <w:r w:rsidRPr="0002074D">
        <w:rPr>
          <w:rFonts w:ascii="Arial" w:hAnsi="Arial" w:cs="Arial"/>
          <w:i/>
        </w:rPr>
        <w:t>Classification: OFFICIAL</w:t>
      </w:r>
    </w:p>
    <w:p w14:paraId="5AA415BF" w14:textId="77777777" w:rsidR="00BD2DEA" w:rsidRPr="0002074D" w:rsidRDefault="00BD2DEA" w:rsidP="00BD2DEA">
      <w:pPr>
        <w:rPr>
          <w:rFonts w:ascii="Arial" w:hAnsi="Arial" w:cs="Arial"/>
          <w:i/>
        </w:rPr>
      </w:pPr>
      <w:r w:rsidRPr="0002074D">
        <w:rPr>
          <w:rFonts w:ascii="Arial" w:hAnsi="Arial" w:cs="Arial"/>
          <w:i/>
        </w:rPr>
        <w:t>NHS England Publications Gateway Reference: 08659</w:t>
      </w:r>
    </w:p>
    <w:p w14:paraId="63E31547" w14:textId="77777777" w:rsidR="0065099C" w:rsidRPr="00BD2DEA" w:rsidRDefault="0065099C" w:rsidP="00637F4A">
      <w:pPr>
        <w:rPr>
          <w:rFonts w:ascii="Arial" w:hAnsi="Arial" w:cs="Arial"/>
        </w:rPr>
      </w:pPr>
    </w:p>
    <w:sectPr w:rsidR="0065099C" w:rsidRPr="00BD2DEA" w:rsidSect="00BD2DEA">
      <w:headerReference w:type="default" r:id="rId10"/>
      <w:pgSz w:w="11910" w:h="16840" w:code="9"/>
      <w:pgMar w:top="1440" w:right="1137"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117C4" w14:textId="77777777" w:rsidR="00BD2DEA" w:rsidRDefault="00BD2DEA" w:rsidP="00BD2DEA">
      <w:r>
        <w:separator/>
      </w:r>
    </w:p>
  </w:endnote>
  <w:endnote w:type="continuationSeparator" w:id="0">
    <w:p w14:paraId="3A117BFC" w14:textId="77777777" w:rsidR="00BD2DEA" w:rsidRDefault="00BD2DEA" w:rsidP="00BD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C94E1" w14:textId="77777777" w:rsidR="00BD2DEA" w:rsidRDefault="00BD2DEA" w:rsidP="00BD2DEA">
      <w:r>
        <w:separator/>
      </w:r>
    </w:p>
  </w:footnote>
  <w:footnote w:type="continuationSeparator" w:id="0">
    <w:p w14:paraId="2D9EA53E" w14:textId="77777777" w:rsidR="00BD2DEA" w:rsidRDefault="00BD2DEA" w:rsidP="00BD2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2595D" w14:textId="77777777" w:rsidR="00BD2DEA" w:rsidRDefault="00BD2DEA">
    <w:pPr>
      <w:pStyle w:val="Header"/>
    </w:pPr>
  </w:p>
  <w:p w14:paraId="37DB1FF9" w14:textId="77777777" w:rsidR="00BD2DEA" w:rsidRDefault="00BD2DEA">
    <w:pPr>
      <w:pStyle w:val="Header"/>
    </w:pPr>
    <w:r w:rsidRPr="00573022">
      <w:rPr>
        <w:noProof/>
        <w:lang w:val="en-GB" w:eastAsia="en-GB"/>
      </w:rPr>
      <w:drawing>
        <wp:inline distT="0" distB="0" distL="0" distR="0" wp14:anchorId="169F7874" wp14:editId="7EDCB3D5">
          <wp:extent cx="3992880" cy="766769"/>
          <wp:effectExtent l="0" t="0" r="7620" b="0"/>
          <wp:docPr id="5" name="Picture 6" descr="Frimley Health and Care logo Final RGB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Frimley Health and Care logo Final RGB HIGH res.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994498" cy="767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47544"/>
    <w:multiLevelType w:val="hybridMultilevel"/>
    <w:tmpl w:val="2294E284"/>
    <w:lvl w:ilvl="0" w:tplc="A4249440">
      <w:start w:val="1"/>
      <w:numFmt w:val="decimal"/>
      <w:lvlText w:val="%1."/>
      <w:lvlJc w:val="left"/>
      <w:pPr>
        <w:ind w:left="820" w:hanging="356"/>
        <w:jc w:val="left"/>
      </w:pPr>
      <w:rPr>
        <w:rFonts w:ascii="Times New Roman" w:eastAsia="Times New Roman" w:hAnsi="Times New Roman" w:cs="Times New Roman" w:hint="default"/>
        <w:w w:val="110"/>
        <w:sz w:val="24"/>
        <w:szCs w:val="24"/>
      </w:rPr>
    </w:lvl>
    <w:lvl w:ilvl="1" w:tplc="C2A84108">
      <w:numFmt w:val="bullet"/>
      <w:lvlText w:val="•"/>
      <w:lvlJc w:val="left"/>
      <w:pPr>
        <w:ind w:left="1642" w:hanging="356"/>
      </w:pPr>
      <w:rPr>
        <w:rFonts w:hint="default"/>
      </w:rPr>
    </w:lvl>
    <w:lvl w:ilvl="2" w:tplc="64AEE4BA">
      <w:numFmt w:val="bullet"/>
      <w:lvlText w:val="•"/>
      <w:lvlJc w:val="left"/>
      <w:pPr>
        <w:ind w:left="2465" w:hanging="356"/>
      </w:pPr>
      <w:rPr>
        <w:rFonts w:hint="default"/>
      </w:rPr>
    </w:lvl>
    <w:lvl w:ilvl="3" w:tplc="71762A5A">
      <w:numFmt w:val="bullet"/>
      <w:lvlText w:val="•"/>
      <w:lvlJc w:val="left"/>
      <w:pPr>
        <w:ind w:left="3287" w:hanging="356"/>
      </w:pPr>
      <w:rPr>
        <w:rFonts w:hint="default"/>
      </w:rPr>
    </w:lvl>
    <w:lvl w:ilvl="4" w:tplc="3D5419E8">
      <w:numFmt w:val="bullet"/>
      <w:lvlText w:val="•"/>
      <w:lvlJc w:val="left"/>
      <w:pPr>
        <w:ind w:left="4110" w:hanging="356"/>
      </w:pPr>
      <w:rPr>
        <w:rFonts w:hint="default"/>
      </w:rPr>
    </w:lvl>
    <w:lvl w:ilvl="5" w:tplc="24F07198">
      <w:numFmt w:val="bullet"/>
      <w:lvlText w:val="•"/>
      <w:lvlJc w:val="left"/>
      <w:pPr>
        <w:ind w:left="4932" w:hanging="356"/>
      </w:pPr>
      <w:rPr>
        <w:rFonts w:hint="default"/>
      </w:rPr>
    </w:lvl>
    <w:lvl w:ilvl="6" w:tplc="4DD67B86">
      <w:numFmt w:val="bullet"/>
      <w:lvlText w:val="•"/>
      <w:lvlJc w:val="left"/>
      <w:pPr>
        <w:ind w:left="5755" w:hanging="356"/>
      </w:pPr>
      <w:rPr>
        <w:rFonts w:hint="default"/>
      </w:rPr>
    </w:lvl>
    <w:lvl w:ilvl="7" w:tplc="6298C1D4">
      <w:numFmt w:val="bullet"/>
      <w:lvlText w:val="•"/>
      <w:lvlJc w:val="left"/>
      <w:pPr>
        <w:ind w:left="6577" w:hanging="356"/>
      </w:pPr>
      <w:rPr>
        <w:rFonts w:hint="default"/>
      </w:rPr>
    </w:lvl>
    <w:lvl w:ilvl="8" w:tplc="9134E766">
      <w:numFmt w:val="bullet"/>
      <w:lvlText w:val="•"/>
      <w:lvlJc w:val="left"/>
      <w:pPr>
        <w:ind w:left="7400" w:hanging="356"/>
      </w:pPr>
      <w:rPr>
        <w:rFonts w:hint="default"/>
      </w:rPr>
    </w:lvl>
  </w:abstractNum>
  <w:abstractNum w:abstractNumId="1" w15:restartNumberingAfterBreak="0">
    <w:nsid w:val="693A31B8"/>
    <w:multiLevelType w:val="hybridMultilevel"/>
    <w:tmpl w:val="4AF401EC"/>
    <w:lvl w:ilvl="0" w:tplc="100AB976">
      <w:start w:val="1"/>
      <w:numFmt w:val="upperLetter"/>
      <w:lvlText w:val="%1."/>
      <w:lvlJc w:val="left"/>
      <w:pPr>
        <w:ind w:left="218" w:hanging="310"/>
        <w:jc w:val="left"/>
      </w:pPr>
      <w:rPr>
        <w:rFonts w:ascii="Times New Roman" w:eastAsia="Times New Roman" w:hAnsi="Times New Roman" w:cs="Times New Roman" w:hint="default"/>
        <w:spacing w:val="-6"/>
        <w:w w:val="99"/>
        <w:sz w:val="24"/>
        <w:szCs w:val="24"/>
      </w:rPr>
    </w:lvl>
    <w:lvl w:ilvl="1" w:tplc="891ECDCC">
      <w:numFmt w:val="bullet"/>
      <w:lvlText w:val="•"/>
      <w:lvlJc w:val="left"/>
      <w:pPr>
        <w:ind w:left="1138" w:hanging="310"/>
      </w:pPr>
      <w:rPr>
        <w:rFonts w:hint="default"/>
      </w:rPr>
    </w:lvl>
    <w:lvl w:ilvl="2" w:tplc="C212A108">
      <w:numFmt w:val="bullet"/>
      <w:lvlText w:val="•"/>
      <w:lvlJc w:val="left"/>
      <w:pPr>
        <w:ind w:left="2057" w:hanging="310"/>
      </w:pPr>
      <w:rPr>
        <w:rFonts w:hint="default"/>
      </w:rPr>
    </w:lvl>
    <w:lvl w:ilvl="3" w:tplc="2A7A1890">
      <w:numFmt w:val="bullet"/>
      <w:lvlText w:val="•"/>
      <w:lvlJc w:val="left"/>
      <w:pPr>
        <w:ind w:left="2975" w:hanging="310"/>
      </w:pPr>
      <w:rPr>
        <w:rFonts w:hint="default"/>
      </w:rPr>
    </w:lvl>
    <w:lvl w:ilvl="4" w:tplc="CFAC6E8C">
      <w:numFmt w:val="bullet"/>
      <w:lvlText w:val="•"/>
      <w:lvlJc w:val="left"/>
      <w:pPr>
        <w:ind w:left="3894" w:hanging="310"/>
      </w:pPr>
      <w:rPr>
        <w:rFonts w:hint="default"/>
      </w:rPr>
    </w:lvl>
    <w:lvl w:ilvl="5" w:tplc="535C8206">
      <w:numFmt w:val="bullet"/>
      <w:lvlText w:val="•"/>
      <w:lvlJc w:val="left"/>
      <w:pPr>
        <w:ind w:left="4813" w:hanging="310"/>
      </w:pPr>
      <w:rPr>
        <w:rFonts w:hint="default"/>
      </w:rPr>
    </w:lvl>
    <w:lvl w:ilvl="6" w:tplc="B41C0758">
      <w:numFmt w:val="bullet"/>
      <w:lvlText w:val="•"/>
      <w:lvlJc w:val="left"/>
      <w:pPr>
        <w:ind w:left="5731" w:hanging="310"/>
      </w:pPr>
      <w:rPr>
        <w:rFonts w:hint="default"/>
      </w:rPr>
    </w:lvl>
    <w:lvl w:ilvl="7" w:tplc="0A68A112">
      <w:numFmt w:val="bullet"/>
      <w:lvlText w:val="•"/>
      <w:lvlJc w:val="left"/>
      <w:pPr>
        <w:ind w:left="6650" w:hanging="310"/>
      </w:pPr>
      <w:rPr>
        <w:rFonts w:hint="default"/>
      </w:rPr>
    </w:lvl>
    <w:lvl w:ilvl="8" w:tplc="B6D6E77C">
      <w:numFmt w:val="bullet"/>
      <w:lvlText w:val="•"/>
      <w:lvlJc w:val="left"/>
      <w:pPr>
        <w:ind w:left="7569" w:hanging="310"/>
      </w:pPr>
      <w:rPr>
        <w:rFonts w:hint="default"/>
      </w:rPr>
    </w:lvl>
  </w:abstractNum>
  <w:abstractNum w:abstractNumId="2" w15:restartNumberingAfterBreak="0">
    <w:nsid w:val="773F0104"/>
    <w:multiLevelType w:val="hybridMultilevel"/>
    <w:tmpl w:val="5B28A3A6"/>
    <w:lvl w:ilvl="0" w:tplc="AB58E022">
      <w:start w:val="1"/>
      <w:numFmt w:val="lowerLetter"/>
      <w:lvlText w:val="%1."/>
      <w:lvlJc w:val="left"/>
      <w:pPr>
        <w:ind w:left="1240" w:hanging="424"/>
        <w:jc w:val="left"/>
      </w:pPr>
      <w:rPr>
        <w:rFonts w:ascii="Times New Roman" w:eastAsia="Times New Roman" w:hAnsi="Times New Roman" w:cs="Times New Roman" w:hint="default"/>
        <w:w w:val="110"/>
        <w:sz w:val="24"/>
        <w:szCs w:val="24"/>
      </w:rPr>
    </w:lvl>
    <w:lvl w:ilvl="1" w:tplc="356A932C">
      <w:numFmt w:val="bullet"/>
      <w:lvlText w:val="•"/>
      <w:lvlJc w:val="left"/>
      <w:pPr>
        <w:ind w:left="2020" w:hanging="424"/>
      </w:pPr>
      <w:rPr>
        <w:rFonts w:hint="default"/>
      </w:rPr>
    </w:lvl>
    <w:lvl w:ilvl="2" w:tplc="94E823F0">
      <w:numFmt w:val="bullet"/>
      <w:lvlText w:val="•"/>
      <w:lvlJc w:val="left"/>
      <w:pPr>
        <w:ind w:left="2801" w:hanging="424"/>
      </w:pPr>
      <w:rPr>
        <w:rFonts w:hint="default"/>
      </w:rPr>
    </w:lvl>
    <w:lvl w:ilvl="3" w:tplc="13EA341E">
      <w:numFmt w:val="bullet"/>
      <w:lvlText w:val="•"/>
      <w:lvlJc w:val="left"/>
      <w:pPr>
        <w:ind w:left="3581" w:hanging="424"/>
      </w:pPr>
      <w:rPr>
        <w:rFonts w:hint="default"/>
      </w:rPr>
    </w:lvl>
    <w:lvl w:ilvl="4" w:tplc="F3EA1674">
      <w:numFmt w:val="bullet"/>
      <w:lvlText w:val="•"/>
      <w:lvlJc w:val="left"/>
      <w:pPr>
        <w:ind w:left="4362" w:hanging="424"/>
      </w:pPr>
      <w:rPr>
        <w:rFonts w:hint="default"/>
      </w:rPr>
    </w:lvl>
    <w:lvl w:ilvl="5" w:tplc="AA6EDAC2">
      <w:numFmt w:val="bullet"/>
      <w:lvlText w:val="•"/>
      <w:lvlJc w:val="left"/>
      <w:pPr>
        <w:ind w:left="5142" w:hanging="424"/>
      </w:pPr>
      <w:rPr>
        <w:rFonts w:hint="default"/>
      </w:rPr>
    </w:lvl>
    <w:lvl w:ilvl="6" w:tplc="CD7C8A4A">
      <w:numFmt w:val="bullet"/>
      <w:lvlText w:val="•"/>
      <w:lvlJc w:val="left"/>
      <w:pPr>
        <w:ind w:left="5923" w:hanging="424"/>
      </w:pPr>
      <w:rPr>
        <w:rFonts w:hint="default"/>
      </w:rPr>
    </w:lvl>
    <w:lvl w:ilvl="7" w:tplc="D0A27AAC">
      <w:numFmt w:val="bullet"/>
      <w:lvlText w:val="•"/>
      <w:lvlJc w:val="left"/>
      <w:pPr>
        <w:ind w:left="6703" w:hanging="424"/>
      </w:pPr>
      <w:rPr>
        <w:rFonts w:hint="default"/>
      </w:rPr>
    </w:lvl>
    <w:lvl w:ilvl="8" w:tplc="791A3910">
      <w:numFmt w:val="bullet"/>
      <w:lvlText w:val="•"/>
      <w:lvlJc w:val="left"/>
      <w:pPr>
        <w:ind w:left="7484" w:hanging="424"/>
      </w:pPr>
      <w:rPr>
        <w:rFonts w:hint="default"/>
      </w:rPr>
    </w:lvl>
  </w:abstractNum>
  <w:abstractNum w:abstractNumId="3" w15:restartNumberingAfterBreak="0">
    <w:nsid w:val="78024271"/>
    <w:multiLevelType w:val="hybridMultilevel"/>
    <w:tmpl w:val="4468C6AA"/>
    <w:lvl w:ilvl="0" w:tplc="10FCD3A8">
      <w:start w:val="1"/>
      <w:numFmt w:val="lowerLetter"/>
      <w:lvlText w:val="%1."/>
      <w:lvlJc w:val="left"/>
      <w:pPr>
        <w:ind w:left="1240" w:hanging="424"/>
        <w:jc w:val="left"/>
      </w:pPr>
      <w:rPr>
        <w:rFonts w:ascii="Times New Roman" w:eastAsia="Times New Roman" w:hAnsi="Times New Roman" w:cs="Times New Roman" w:hint="default"/>
        <w:w w:val="110"/>
        <w:sz w:val="24"/>
        <w:szCs w:val="24"/>
      </w:rPr>
    </w:lvl>
    <w:lvl w:ilvl="1" w:tplc="4CEEA1C8">
      <w:numFmt w:val="bullet"/>
      <w:lvlText w:val="•"/>
      <w:lvlJc w:val="left"/>
      <w:pPr>
        <w:ind w:left="2020" w:hanging="424"/>
      </w:pPr>
      <w:rPr>
        <w:rFonts w:hint="default"/>
      </w:rPr>
    </w:lvl>
    <w:lvl w:ilvl="2" w:tplc="F9AA8BEE">
      <w:numFmt w:val="bullet"/>
      <w:lvlText w:val="•"/>
      <w:lvlJc w:val="left"/>
      <w:pPr>
        <w:ind w:left="2801" w:hanging="424"/>
      </w:pPr>
      <w:rPr>
        <w:rFonts w:hint="default"/>
      </w:rPr>
    </w:lvl>
    <w:lvl w:ilvl="3" w:tplc="A60EDE12">
      <w:numFmt w:val="bullet"/>
      <w:lvlText w:val="•"/>
      <w:lvlJc w:val="left"/>
      <w:pPr>
        <w:ind w:left="3581" w:hanging="424"/>
      </w:pPr>
      <w:rPr>
        <w:rFonts w:hint="default"/>
      </w:rPr>
    </w:lvl>
    <w:lvl w:ilvl="4" w:tplc="0186BBE8">
      <w:numFmt w:val="bullet"/>
      <w:lvlText w:val="•"/>
      <w:lvlJc w:val="left"/>
      <w:pPr>
        <w:ind w:left="4362" w:hanging="424"/>
      </w:pPr>
      <w:rPr>
        <w:rFonts w:hint="default"/>
      </w:rPr>
    </w:lvl>
    <w:lvl w:ilvl="5" w:tplc="418C04DC">
      <w:numFmt w:val="bullet"/>
      <w:lvlText w:val="•"/>
      <w:lvlJc w:val="left"/>
      <w:pPr>
        <w:ind w:left="5142" w:hanging="424"/>
      </w:pPr>
      <w:rPr>
        <w:rFonts w:hint="default"/>
      </w:rPr>
    </w:lvl>
    <w:lvl w:ilvl="6" w:tplc="C3D0918C">
      <w:numFmt w:val="bullet"/>
      <w:lvlText w:val="•"/>
      <w:lvlJc w:val="left"/>
      <w:pPr>
        <w:ind w:left="5923" w:hanging="424"/>
      </w:pPr>
      <w:rPr>
        <w:rFonts w:hint="default"/>
      </w:rPr>
    </w:lvl>
    <w:lvl w:ilvl="7" w:tplc="12687C2E">
      <w:numFmt w:val="bullet"/>
      <w:lvlText w:val="•"/>
      <w:lvlJc w:val="left"/>
      <w:pPr>
        <w:ind w:left="6703" w:hanging="424"/>
      </w:pPr>
      <w:rPr>
        <w:rFonts w:hint="default"/>
      </w:rPr>
    </w:lvl>
    <w:lvl w:ilvl="8" w:tplc="4EB009B6">
      <w:numFmt w:val="bullet"/>
      <w:lvlText w:val="•"/>
      <w:lvlJc w:val="left"/>
      <w:pPr>
        <w:ind w:left="7484" w:hanging="424"/>
      </w:pPr>
      <w:rPr>
        <w:rFonts w:hint="default"/>
      </w:rPr>
    </w:lvl>
  </w:abstractNum>
  <w:num w:numId="1" w16cid:durableId="157156857">
    <w:abstractNumId w:val="0"/>
  </w:num>
  <w:num w:numId="2" w16cid:durableId="2146002486">
    <w:abstractNumId w:val="3"/>
  </w:num>
  <w:num w:numId="3" w16cid:durableId="918826798">
    <w:abstractNumId w:val="2"/>
  </w:num>
  <w:num w:numId="4" w16cid:durableId="1574586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810"/>
    <w:rsid w:val="003A7AAF"/>
    <w:rsid w:val="00637F4A"/>
    <w:rsid w:val="0065099C"/>
    <w:rsid w:val="00B14810"/>
    <w:rsid w:val="00BD2DEA"/>
    <w:rsid w:val="00CD6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FCD8EE"/>
  <w15:docId w15:val="{FEBD85B3-B421-4BEC-A1FB-A797D313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B14810"/>
    <w:pPr>
      <w:widowControl w:val="0"/>
      <w:autoSpaceDE w:val="0"/>
      <w:autoSpaceDN w:val="0"/>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14810"/>
    <w:rPr>
      <w:sz w:val="24"/>
      <w:szCs w:val="24"/>
    </w:rPr>
  </w:style>
  <w:style w:type="character" w:customStyle="1" w:styleId="BodyTextChar">
    <w:name w:val="Body Text Char"/>
    <w:basedOn w:val="DefaultParagraphFont"/>
    <w:link w:val="BodyText"/>
    <w:uiPriority w:val="1"/>
    <w:rsid w:val="00B14810"/>
    <w:rPr>
      <w:sz w:val="24"/>
      <w:szCs w:val="24"/>
      <w:lang w:val="en-US" w:eastAsia="en-US"/>
    </w:rPr>
  </w:style>
  <w:style w:type="paragraph" w:styleId="ListParagraph">
    <w:name w:val="List Paragraph"/>
    <w:basedOn w:val="Normal"/>
    <w:uiPriority w:val="1"/>
    <w:qFormat/>
    <w:rsid w:val="00B14810"/>
    <w:pPr>
      <w:ind w:left="645" w:hanging="360"/>
    </w:pPr>
  </w:style>
  <w:style w:type="paragraph" w:customStyle="1" w:styleId="TableParagraph">
    <w:name w:val="Table Paragraph"/>
    <w:basedOn w:val="Normal"/>
    <w:uiPriority w:val="1"/>
    <w:qFormat/>
    <w:rsid w:val="00B14810"/>
  </w:style>
  <w:style w:type="character" w:styleId="Hyperlink">
    <w:name w:val="Hyperlink"/>
    <w:basedOn w:val="DefaultParagraphFont"/>
    <w:rsid w:val="00637F4A"/>
    <w:rPr>
      <w:color w:val="0000FF" w:themeColor="hyperlink"/>
      <w:u w:val="single"/>
    </w:rPr>
  </w:style>
  <w:style w:type="paragraph" w:styleId="Header">
    <w:name w:val="header"/>
    <w:basedOn w:val="Normal"/>
    <w:link w:val="HeaderChar"/>
    <w:uiPriority w:val="99"/>
    <w:rsid w:val="00BD2DEA"/>
    <w:pPr>
      <w:tabs>
        <w:tab w:val="center" w:pos="4513"/>
        <w:tab w:val="right" w:pos="9026"/>
      </w:tabs>
    </w:pPr>
  </w:style>
  <w:style w:type="character" w:customStyle="1" w:styleId="HeaderChar">
    <w:name w:val="Header Char"/>
    <w:basedOn w:val="DefaultParagraphFont"/>
    <w:link w:val="Header"/>
    <w:uiPriority w:val="99"/>
    <w:rsid w:val="00BD2DEA"/>
    <w:rPr>
      <w:sz w:val="22"/>
      <w:szCs w:val="22"/>
      <w:lang w:val="en-US" w:eastAsia="en-US"/>
    </w:rPr>
  </w:style>
  <w:style w:type="paragraph" w:styleId="Footer">
    <w:name w:val="footer"/>
    <w:basedOn w:val="Normal"/>
    <w:link w:val="FooterChar"/>
    <w:rsid w:val="00BD2DEA"/>
    <w:pPr>
      <w:tabs>
        <w:tab w:val="center" w:pos="4513"/>
        <w:tab w:val="right" w:pos="9026"/>
      </w:tabs>
    </w:pPr>
  </w:style>
  <w:style w:type="character" w:customStyle="1" w:styleId="FooterChar">
    <w:name w:val="Footer Char"/>
    <w:basedOn w:val="DefaultParagraphFont"/>
    <w:link w:val="Footer"/>
    <w:rsid w:val="00BD2DEA"/>
    <w:rPr>
      <w:sz w:val="22"/>
      <w:szCs w:val="22"/>
      <w:lang w:val="en-US" w:eastAsia="en-US"/>
    </w:rPr>
  </w:style>
  <w:style w:type="paragraph" w:styleId="BalloonText">
    <w:name w:val="Balloon Text"/>
    <w:basedOn w:val="Normal"/>
    <w:link w:val="BalloonTextChar"/>
    <w:rsid w:val="00BD2DEA"/>
    <w:rPr>
      <w:rFonts w:ascii="Tahoma" w:hAnsi="Tahoma" w:cs="Tahoma"/>
      <w:sz w:val="16"/>
      <w:szCs w:val="16"/>
    </w:rPr>
  </w:style>
  <w:style w:type="character" w:customStyle="1" w:styleId="BalloonTextChar">
    <w:name w:val="Balloon Text Char"/>
    <w:basedOn w:val="DefaultParagraphFont"/>
    <w:link w:val="BalloonText"/>
    <w:rsid w:val="00BD2DE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trigger-finger/treatment/" TargetMode="External"/><Relationship Id="rId3" Type="http://schemas.openxmlformats.org/officeDocument/2006/relationships/settings" Target="settings.xml"/><Relationship Id="rId7" Type="http://schemas.openxmlformats.org/officeDocument/2006/relationships/hyperlink" Target="https://www.aomrc.org.uk/ebi/wp-content/uploads/2021/05/ebi-statutory-guidanc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ssh.ac.uk/_userfiles/pages/files/professionals/BEST%20Guidel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Frimley Park Hospital NHS Foundation Trust</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Hall - Senior Contracts Manager</dc:creator>
  <cp:lastModifiedBy>HALL, Karen (FRIMLEY HEALTH NHS FOUNDATION TRUST)</cp:lastModifiedBy>
  <cp:revision>2</cp:revision>
  <dcterms:created xsi:type="dcterms:W3CDTF">2023-02-22T11:38:00Z</dcterms:created>
  <dcterms:modified xsi:type="dcterms:W3CDTF">2023-02-22T11:38:00Z</dcterms:modified>
</cp:coreProperties>
</file>