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F151" w14:textId="77777777" w:rsidR="009C388F" w:rsidRDefault="009C388F" w:rsidP="009C388F">
      <w:pPr>
        <w:rPr>
          <w:rFonts w:ascii="Arial" w:hAnsi="Arial" w:cs="Arial"/>
          <w:i/>
          <w:sz w:val="20"/>
        </w:rPr>
      </w:pPr>
    </w:p>
    <w:p w14:paraId="19D15512" w14:textId="1A130D4B" w:rsidR="009C388F" w:rsidRPr="00A611C3" w:rsidRDefault="009C388F" w:rsidP="009C388F">
      <w:pPr>
        <w:rPr>
          <w:rFonts w:ascii="Arial" w:hAnsi="Arial" w:cs="Arial"/>
          <w:i/>
          <w:sz w:val="18"/>
          <w:szCs w:val="18"/>
        </w:rPr>
      </w:pPr>
      <w:r w:rsidRPr="00A611C3">
        <w:rPr>
          <w:rFonts w:ascii="Arial" w:hAnsi="Arial" w:cs="Arial"/>
          <w:i/>
          <w:sz w:val="18"/>
          <w:szCs w:val="18"/>
        </w:rPr>
        <w:t xml:space="preserve">Extract from the below named document for ICS Implementation purposes;  </w:t>
      </w:r>
      <w:hyperlink r:id="rId7" w:history="1">
        <w:r w:rsidR="00A611C3" w:rsidRPr="00A611C3">
          <w:rPr>
            <w:rStyle w:val="Hyperlink"/>
            <w:rFonts w:ascii="Arial" w:hAnsi="Arial" w:cs="Arial"/>
            <w:i/>
            <w:sz w:val="18"/>
            <w:szCs w:val="18"/>
          </w:rPr>
          <w:t>Microsoft Word - EBI consultation response statutory guidance 11 Jan 2019 FINAL v2.0 CLEAN + cover sheet.docx (aomrc.org.uk)</w:t>
        </w:r>
      </w:hyperlink>
    </w:p>
    <w:p w14:paraId="0EB94033" w14:textId="77777777" w:rsidR="009C388F" w:rsidRDefault="009C388F" w:rsidP="009C388F">
      <w:pPr>
        <w:jc w:val="center"/>
        <w:rPr>
          <w:rFonts w:ascii="Arial" w:hAnsi="Arial" w:cs="Arial"/>
          <w:sz w:val="24"/>
        </w:rPr>
      </w:pP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t>________________________________________________________________</w:t>
      </w:r>
    </w:p>
    <w:p w14:paraId="73E0A1E4" w14:textId="77777777" w:rsidR="009C388F" w:rsidRDefault="009C388F" w:rsidP="009C388F"/>
    <w:p w14:paraId="0BAF9EF8" w14:textId="77777777" w:rsidR="009C388F" w:rsidRPr="00A611C3" w:rsidRDefault="009C388F" w:rsidP="009C388F">
      <w:pPr>
        <w:rPr>
          <w:rFonts w:ascii="Arial" w:hAnsi="Arial" w:cs="Arial"/>
          <w:sz w:val="28"/>
          <w:u w:val="single"/>
        </w:rPr>
      </w:pPr>
      <w:r w:rsidRPr="00A611C3">
        <w:rPr>
          <w:rFonts w:ascii="Arial" w:hAnsi="Arial" w:cs="Arial"/>
          <w:sz w:val="28"/>
          <w:u w:val="single"/>
        </w:rPr>
        <w:t xml:space="preserve">Dilatation and curettage (D&amp;C) for heavy menstrual bleeding in women </w:t>
      </w:r>
    </w:p>
    <w:p w14:paraId="6B723C60" w14:textId="77777777" w:rsidR="009C388F" w:rsidRPr="00A611C3" w:rsidRDefault="009C388F" w:rsidP="009C388F">
      <w:pPr>
        <w:rPr>
          <w:rFonts w:ascii="Arial" w:hAnsi="Arial" w:cs="Arial"/>
          <w:sz w:val="28"/>
          <w:u w:val="single"/>
        </w:rPr>
      </w:pPr>
    </w:p>
    <w:p w14:paraId="18831621" w14:textId="77777777" w:rsidR="009C388F" w:rsidRPr="00A611C3" w:rsidRDefault="009C388F" w:rsidP="009C388F">
      <w:pPr>
        <w:rPr>
          <w:rFonts w:ascii="Arial" w:hAnsi="Arial" w:cs="Arial"/>
          <w:sz w:val="28"/>
          <w:u w:val="single"/>
        </w:rPr>
      </w:pPr>
      <w:r w:rsidRPr="00A611C3">
        <w:rPr>
          <w:rFonts w:ascii="Arial" w:hAnsi="Arial" w:cs="Arial"/>
          <w:sz w:val="28"/>
          <w:u w:val="single"/>
        </w:rPr>
        <w:t>Updated description of the intervention</w:t>
      </w:r>
    </w:p>
    <w:p w14:paraId="77F4AF26" w14:textId="77777777" w:rsidR="009C388F" w:rsidRPr="009C388F" w:rsidRDefault="009C388F" w:rsidP="009C388F">
      <w:pPr>
        <w:rPr>
          <w:rFonts w:ascii="Arial" w:hAnsi="Arial" w:cs="Arial"/>
        </w:rPr>
      </w:pPr>
    </w:p>
    <w:p w14:paraId="00F049BB" w14:textId="77777777" w:rsidR="009C388F" w:rsidRPr="009C388F" w:rsidRDefault="009C388F" w:rsidP="009C388F">
      <w:pPr>
        <w:rPr>
          <w:rFonts w:ascii="Arial" w:hAnsi="Arial" w:cs="Arial"/>
        </w:rPr>
      </w:pPr>
      <w:r w:rsidRPr="009C388F">
        <w:rPr>
          <w:rFonts w:ascii="Arial" w:hAnsi="Arial" w:cs="Arial"/>
        </w:rPr>
        <w:t>NICE guidelines recommend that D&amp;C is not offered as a diagnostic or treatment option for heavy menstrual bleeding, as there is very little evidence to suggest that it works to investigate or treat heavy periods9.</w:t>
      </w:r>
    </w:p>
    <w:p w14:paraId="1D494767" w14:textId="77777777" w:rsidR="009C388F" w:rsidRPr="009C388F" w:rsidRDefault="009C388F" w:rsidP="009C388F">
      <w:pPr>
        <w:rPr>
          <w:rFonts w:ascii="Arial" w:hAnsi="Arial" w:cs="Arial"/>
        </w:rPr>
      </w:pPr>
    </w:p>
    <w:p w14:paraId="1F45044D" w14:textId="77777777" w:rsidR="009C388F" w:rsidRDefault="009C388F" w:rsidP="009C388F">
      <w:pPr>
        <w:rPr>
          <w:rFonts w:ascii="Arial" w:hAnsi="Arial" w:cs="Arial"/>
        </w:rPr>
      </w:pPr>
      <w:r w:rsidRPr="009C388F">
        <w:rPr>
          <w:rFonts w:ascii="Arial" w:hAnsi="Arial" w:cs="Arial"/>
        </w:rPr>
        <w:t xml:space="preserve">Ultrasound scans and camera tests, with sampling of the lining of the womb (hysteroscopy and biopsy), can be used to investigate heavy periods. Medication and intrauterine systems (IUS), as well as weight loss (if appropriate) can treat heavy periods. </w:t>
      </w:r>
    </w:p>
    <w:p w14:paraId="35C2C0B2" w14:textId="77777777" w:rsidR="009C388F" w:rsidRDefault="009C388F" w:rsidP="009C388F">
      <w:pPr>
        <w:rPr>
          <w:rFonts w:ascii="Arial" w:hAnsi="Arial" w:cs="Arial"/>
        </w:rPr>
      </w:pPr>
    </w:p>
    <w:p w14:paraId="0B675023" w14:textId="77777777" w:rsidR="009C388F" w:rsidRPr="009C388F" w:rsidRDefault="00A611C3" w:rsidP="009C388F">
      <w:pPr>
        <w:rPr>
          <w:rFonts w:ascii="Arial" w:hAnsi="Arial" w:cs="Arial"/>
        </w:rPr>
      </w:pPr>
      <w:hyperlink r:id="rId8" w:history="1">
        <w:r w:rsidR="009C388F" w:rsidRPr="00501840">
          <w:rPr>
            <w:rStyle w:val="Hyperlink"/>
            <w:rFonts w:ascii="Arial" w:hAnsi="Arial" w:cs="Arial"/>
          </w:rPr>
          <w:t>https://www.nice.org.uk/guidance/ng88</w:t>
        </w:r>
      </w:hyperlink>
      <w:r w:rsidR="009C388F">
        <w:rPr>
          <w:rFonts w:ascii="Arial" w:hAnsi="Arial" w:cs="Arial"/>
        </w:rPr>
        <w:t xml:space="preserve"> </w:t>
      </w:r>
      <w:r w:rsidR="009C388F" w:rsidRPr="009C388F">
        <w:rPr>
          <w:rFonts w:ascii="Arial" w:hAnsi="Arial" w:cs="Arial"/>
        </w:rPr>
        <w:t xml:space="preserve"> and</w:t>
      </w:r>
      <w:r w:rsidR="009C388F">
        <w:rPr>
          <w:rFonts w:ascii="Arial" w:hAnsi="Arial" w:cs="Arial"/>
        </w:rPr>
        <w:t xml:space="preserve"> </w:t>
      </w:r>
      <w:r w:rsidR="009C388F" w:rsidRPr="009C388F">
        <w:rPr>
          <w:rFonts w:ascii="Arial" w:hAnsi="Arial" w:cs="Arial"/>
        </w:rPr>
        <w:t>https://</w:t>
      </w:r>
      <w:hyperlink r:id="rId9" w:anchor="alternatives-to-hysteroscopy">
        <w:r w:rsidR="009C388F" w:rsidRPr="009C388F">
          <w:rPr>
            <w:rStyle w:val="Hyperlink"/>
            <w:rFonts w:ascii="Arial" w:hAnsi="Arial" w:cs="Arial"/>
          </w:rPr>
          <w:t>www.nhs.uk/conditions/hysteroscopy/#alternatives-to-hysteroscopy</w:t>
        </w:r>
      </w:hyperlink>
    </w:p>
    <w:p w14:paraId="1579F3E2" w14:textId="77777777" w:rsidR="009C388F" w:rsidRPr="009C388F" w:rsidRDefault="009C388F" w:rsidP="009C388F">
      <w:pPr>
        <w:rPr>
          <w:rFonts w:ascii="Arial" w:hAnsi="Arial" w:cs="Arial"/>
        </w:rPr>
      </w:pPr>
    </w:p>
    <w:p w14:paraId="028DDC2E" w14:textId="77777777" w:rsidR="009C388F" w:rsidRPr="009C388F" w:rsidRDefault="009C388F" w:rsidP="009C388F">
      <w:pPr>
        <w:rPr>
          <w:rFonts w:ascii="Arial" w:hAnsi="Arial" w:cs="Arial"/>
        </w:rPr>
      </w:pPr>
      <w:r w:rsidRPr="009C388F">
        <w:rPr>
          <w:rFonts w:ascii="Arial" w:hAnsi="Arial" w:cs="Arial"/>
        </w:rPr>
        <w:t>Updated clinical criteria</w:t>
      </w:r>
    </w:p>
    <w:p w14:paraId="1744713C" w14:textId="77777777" w:rsidR="009C388F" w:rsidRPr="009C388F" w:rsidRDefault="009C388F" w:rsidP="009C388F">
      <w:pPr>
        <w:rPr>
          <w:rFonts w:ascii="Arial" w:hAnsi="Arial" w:cs="Arial"/>
        </w:rPr>
      </w:pPr>
    </w:p>
    <w:tbl>
      <w:tblPr>
        <w:tblW w:w="92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73"/>
      </w:tblGrid>
      <w:tr w:rsidR="009C388F" w:rsidRPr="009C388F" w14:paraId="4471373A" w14:textId="77777777" w:rsidTr="009C388F">
        <w:trPr>
          <w:trHeight w:val="275"/>
        </w:trPr>
        <w:tc>
          <w:tcPr>
            <w:tcW w:w="9273" w:type="dxa"/>
            <w:shd w:val="clear" w:color="auto" w:fill="16365D"/>
          </w:tcPr>
          <w:p w14:paraId="37B8B7D5" w14:textId="77777777" w:rsidR="009C388F" w:rsidRPr="009C388F" w:rsidRDefault="009C388F" w:rsidP="009C388F">
            <w:pPr>
              <w:rPr>
                <w:rFonts w:ascii="Arial" w:hAnsi="Arial" w:cs="Arial"/>
              </w:rPr>
            </w:pPr>
            <w:r w:rsidRPr="009C388F">
              <w:rPr>
                <w:rFonts w:ascii="Arial" w:hAnsi="Arial" w:cs="Arial"/>
              </w:rPr>
              <w:t>Summary of intervention</w:t>
            </w:r>
          </w:p>
        </w:tc>
      </w:tr>
      <w:tr w:rsidR="009C388F" w:rsidRPr="009C388F" w14:paraId="7FEFADF6" w14:textId="77777777" w:rsidTr="009C388F">
        <w:trPr>
          <w:trHeight w:val="802"/>
        </w:trPr>
        <w:tc>
          <w:tcPr>
            <w:tcW w:w="9273" w:type="dxa"/>
          </w:tcPr>
          <w:p w14:paraId="46608589" w14:textId="77777777" w:rsidR="009C388F" w:rsidRPr="009C388F" w:rsidRDefault="009C388F" w:rsidP="009C388F">
            <w:pPr>
              <w:rPr>
                <w:rFonts w:ascii="Arial" w:hAnsi="Arial" w:cs="Arial"/>
              </w:rPr>
            </w:pPr>
            <w:r w:rsidRPr="009C388F">
              <w:rPr>
                <w:rFonts w:ascii="Arial" w:hAnsi="Arial" w:cs="Arial"/>
              </w:rPr>
              <w:t>Dilation and curettage (D&amp;C) is a minor surgical procedure where the opening of the womb (cervix) is widened (dilatation) and the lining of the womb is scraped out (curettage).</w:t>
            </w:r>
          </w:p>
        </w:tc>
      </w:tr>
      <w:tr w:rsidR="009C388F" w:rsidRPr="009C388F" w14:paraId="593B5023" w14:textId="77777777" w:rsidTr="009C388F">
        <w:trPr>
          <w:trHeight w:val="275"/>
        </w:trPr>
        <w:tc>
          <w:tcPr>
            <w:tcW w:w="9273" w:type="dxa"/>
            <w:shd w:val="clear" w:color="auto" w:fill="16365D"/>
          </w:tcPr>
          <w:p w14:paraId="28F1A45D" w14:textId="77777777" w:rsidR="009C388F" w:rsidRPr="009C388F" w:rsidRDefault="009C388F" w:rsidP="009C388F">
            <w:pPr>
              <w:rPr>
                <w:rFonts w:ascii="Arial" w:hAnsi="Arial" w:cs="Arial"/>
              </w:rPr>
            </w:pPr>
            <w:r w:rsidRPr="009C388F">
              <w:rPr>
                <w:rFonts w:ascii="Arial" w:hAnsi="Arial" w:cs="Arial"/>
              </w:rPr>
              <w:t>Number of CCG interventions in 2017/18</w:t>
            </w:r>
          </w:p>
        </w:tc>
      </w:tr>
      <w:tr w:rsidR="009C388F" w:rsidRPr="009C388F" w14:paraId="2A6DBB2E" w14:textId="77777777" w:rsidTr="009C388F">
        <w:trPr>
          <w:trHeight w:val="551"/>
        </w:trPr>
        <w:tc>
          <w:tcPr>
            <w:tcW w:w="9273" w:type="dxa"/>
          </w:tcPr>
          <w:p w14:paraId="537E2C13" w14:textId="77777777" w:rsidR="009C388F" w:rsidRPr="009C388F" w:rsidRDefault="009C388F" w:rsidP="009C388F">
            <w:pPr>
              <w:rPr>
                <w:rFonts w:ascii="Arial" w:hAnsi="Arial" w:cs="Arial"/>
              </w:rPr>
            </w:pPr>
            <w:r w:rsidRPr="009C388F">
              <w:rPr>
                <w:rFonts w:ascii="Arial" w:hAnsi="Arial" w:cs="Arial"/>
              </w:rPr>
              <w:t>236</w:t>
            </w:r>
          </w:p>
        </w:tc>
      </w:tr>
      <w:tr w:rsidR="009C388F" w:rsidRPr="009C388F" w14:paraId="375FAFE8" w14:textId="77777777" w:rsidTr="009C388F">
        <w:trPr>
          <w:trHeight w:val="275"/>
        </w:trPr>
        <w:tc>
          <w:tcPr>
            <w:tcW w:w="9273" w:type="dxa"/>
            <w:shd w:val="clear" w:color="auto" w:fill="16365D"/>
          </w:tcPr>
          <w:p w14:paraId="4EB2AB3A" w14:textId="77777777" w:rsidR="009C388F" w:rsidRPr="009C388F" w:rsidRDefault="009C388F" w:rsidP="009C388F">
            <w:pPr>
              <w:rPr>
                <w:rFonts w:ascii="Arial" w:hAnsi="Arial" w:cs="Arial"/>
              </w:rPr>
            </w:pPr>
            <w:r w:rsidRPr="009C388F">
              <w:rPr>
                <w:rFonts w:ascii="Arial" w:hAnsi="Arial" w:cs="Arial"/>
              </w:rPr>
              <w:t>Recommendation</w:t>
            </w:r>
          </w:p>
        </w:tc>
      </w:tr>
      <w:tr w:rsidR="009C388F" w:rsidRPr="009C388F" w14:paraId="192897FD" w14:textId="77777777" w:rsidTr="009C388F">
        <w:trPr>
          <w:trHeight w:val="2687"/>
        </w:trPr>
        <w:tc>
          <w:tcPr>
            <w:tcW w:w="9273" w:type="dxa"/>
          </w:tcPr>
          <w:p w14:paraId="6CEC16F8" w14:textId="77777777" w:rsidR="009C388F" w:rsidRPr="009C388F" w:rsidRDefault="009C388F" w:rsidP="009C388F">
            <w:pPr>
              <w:rPr>
                <w:rFonts w:ascii="Arial" w:hAnsi="Arial" w:cs="Arial"/>
              </w:rPr>
            </w:pPr>
            <w:r w:rsidRPr="009C388F">
              <w:rPr>
                <w:rFonts w:ascii="Arial" w:hAnsi="Arial" w:cs="Arial"/>
              </w:rPr>
              <w:t>D&amp;C should not be used for diagnosis or treatment for heavy menstrual bleeding in women because it is clinically ineffective.</w:t>
            </w:r>
          </w:p>
          <w:p w14:paraId="383A1112" w14:textId="77777777" w:rsidR="009C388F" w:rsidRPr="009C388F" w:rsidRDefault="009C388F" w:rsidP="009C388F">
            <w:pPr>
              <w:rPr>
                <w:rFonts w:ascii="Arial" w:hAnsi="Arial" w:cs="Arial"/>
              </w:rPr>
            </w:pPr>
          </w:p>
          <w:p w14:paraId="26ADA573" w14:textId="77777777" w:rsidR="009C388F" w:rsidRPr="009C388F" w:rsidRDefault="009C388F" w:rsidP="009C388F">
            <w:pPr>
              <w:rPr>
                <w:rFonts w:ascii="Arial" w:hAnsi="Arial" w:cs="Arial"/>
              </w:rPr>
            </w:pPr>
            <w:proofErr w:type="spellStart"/>
            <w:r>
              <w:rPr>
                <w:rFonts w:ascii="Arial" w:hAnsi="Arial" w:cs="Arial"/>
              </w:rPr>
              <w:t>UI</w:t>
            </w:r>
            <w:r w:rsidRPr="009C388F">
              <w:rPr>
                <w:rFonts w:ascii="Arial" w:hAnsi="Arial" w:cs="Arial"/>
              </w:rPr>
              <w:t>trasound</w:t>
            </w:r>
            <w:proofErr w:type="spellEnd"/>
            <w:r w:rsidRPr="009C388F">
              <w:rPr>
                <w:rFonts w:ascii="Arial" w:hAnsi="Arial" w:cs="Arial"/>
              </w:rPr>
              <w:t xml:space="preserve"> scans and camera tests with sampling of the lining of the womb (hysteroscopy and biopsy) can be used to investigate heavy periods.</w:t>
            </w:r>
          </w:p>
          <w:p w14:paraId="6EB0F24F" w14:textId="77777777" w:rsidR="009C388F" w:rsidRPr="009C388F" w:rsidRDefault="009C388F" w:rsidP="009C388F">
            <w:pPr>
              <w:rPr>
                <w:rFonts w:ascii="Arial" w:hAnsi="Arial" w:cs="Arial"/>
              </w:rPr>
            </w:pPr>
            <w:r w:rsidRPr="009C388F">
              <w:rPr>
                <w:rFonts w:ascii="Arial" w:hAnsi="Arial" w:cs="Arial"/>
              </w:rPr>
              <w:t>Medication and intrauterine systems (IUS) can be used to treat heavy periods. For further information, please see:</w:t>
            </w:r>
          </w:p>
          <w:p w14:paraId="154CB01F" w14:textId="77777777" w:rsidR="009C388F" w:rsidRPr="009C388F" w:rsidRDefault="009C388F" w:rsidP="009C388F">
            <w:pPr>
              <w:rPr>
                <w:rFonts w:ascii="Arial" w:hAnsi="Arial" w:cs="Arial"/>
              </w:rPr>
            </w:pPr>
            <w:r w:rsidRPr="009C388F">
              <w:rPr>
                <w:rFonts w:ascii="Arial" w:hAnsi="Arial" w:cs="Arial"/>
              </w:rPr>
              <w:t>https://</w:t>
            </w:r>
            <w:hyperlink r:id="rId10">
              <w:r w:rsidRPr="009C388F">
                <w:rPr>
                  <w:rStyle w:val="Hyperlink"/>
                  <w:rFonts w:ascii="Arial" w:hAnsi="Arial" w:cs="Arial"/>
                </w:rPr>
                <w:t>www.nice.org.uk/guidance/ng88</w:t>
              </w:r>
            </w:hyperlink>
          </w:p>
          <w:p w14:paraId="00E19E6B" w14:textId="77777777" w:rsidR="0019276C" w:rsidRDefault="009C388F" w:rsidP="00A611C3">
            <w:pPr>
              <w:rPr>
                <w:rStyle w:val="Hyperlink"/>
                <w:rFonts w:ascii="Arial" w:hAnsi="Arial" w:cs="Arial"/>
              </w:rPr>
            </w:pPr>
            <w:r w:rsidRPr="009C388F">
              <w:rPr>
                <w:rFonts w:ascii="Arial" w:hAnsi="Arial" w:cs="Arial"/>
              </w:rPr>
              <w:t>https://</w:t>
            </w:r>
            <w:hyperlink r:id="rId11" w:anchor="alternatives-to-hysteroscopy">
              <w:r w:rsidRPr="009C388F">
                <w:rPr>
                  <w:rStyle w:val="Hyperlink"/>
                  <w:rFonts w:ascii="Arial" w:hAnsi="Arial" w:cs="Arial"/>
                </w:rPr>
                <w:t>www.nhs.uk/conditions/hysteroscopy/#alternatives-to-hysteroscopy</w:t>
              </w:r>
            </w:hyperlink>
          </w:p>
          <w:p w14:paraId="593E546F" w14:textId="77777777" w:rsidR="00A611C3" w:rsidRDefault="00A611C3" w:rsidP="00A611C3">
            <w:pPr>
              <w:rPr>
                <w:rStyle w:val="Hyperlink"/>
                <w:rFonts w:ascii="Arial" w:hAnsi="Arial" w:cs="Arial"/>
              </w:rPr>
            </w:pPr>
          </w:p>
          <w:p w14:paraId="17FF931B" w14:textId="77777777" w:rsidR="00A611C3" w:rsidRDefault="00A611C3" w:rsidP="00A611C3">
            <w:pPr>
              <w:rPr>
                <w:rStyle w:val="Hyperlink"/>
                <w:rFonts w:ascii="Arial" w:hAnsi="Arial" w:cs="Arial"/>
              </w:rPr>
            </w:pPr>
          </w:p>
          <w:p w14:paraId="1FB5DBD5" w14:textId="77777777" w:rsidR="00A611C3" w:rsidRDefault="00A611C3" w:rsidP="00A611C3">
            <w:pPr>
              <w:rPr>
                <w:rStyle w:val="Hyperlink"/>
                <w:rFonts w:ascii="Arial" w:hAnsi="Arial" w:cs="Arial"/>
              </w:rPr>
            </w:pPr>
          </w:p>
          <w:p w14:paraId="2B14D0C7" w14:textId="77777777" w:rsidR="00A611C3" w:rsidRDefault="00A611C3" w:rsidP="00A611C3">
            <w:pPr>
              <w:rPr>
                <w:rStyle w:val="Hyperlink"/>
                <w:rFonts w:ascii="Arial" w:hAnsi="Arial" w:cs="Arial"/>
              </w:rPr>
            </w:pPr>
          </w:p>
          <w:p w14:paraId="2F667D02" w14:textId="77777777" w:rsidR="00A611C3" w:rsidRDefault="00A611C3" w:rsidP="00A611C3">
            <w:pPr>
              <w:rPr>
                <w:rStyle w:val="Hyperlink"/>
              </w:rPr>
            </w:pPr>
          </w:p>
          <w:p w14:paraId="06180D52" w14:textId="77777777" w:rsidR="00A611C3" w:rsidRDefault="00A611C3" w:rsidP="00A611C3">
            <w:pPr>
              <w:rPr>
                <w:rStyle w:val="Hyperlink"/>
              </w:rPr>
            </w:pPr>
          </w:p>
          <w:p w14:paraId="08A0BABD" w14:textId="09D6877A" w:rsidR="00A611C3" w:rsidRPr="009C388F" w:rsidRDefault="00A611C3" w:rsidP="00A611C3">
            <w:pPr>
              <w:rPr>
                <w:rFonts w:ascii="Arial" w:hAnsi="Arial" w:cs="Arial"/>
              </w:rPr>
            </w:pPr>
          </w:p>
        </w:tc>
      </w:tr>
      <w:tr w:rsidR="009C388F" w:rsidRPr="009C388F" w14:paraId="63960392" w14:textId="77777777" w:rsidTr="009C388F">
        <w:trPr>
          <w:trHeight w:val="275"/>
        </w:trPr>
        <w:tc>
          <w:tcPr>
            <w:tcW w:w="9273" w:type="dxa"/>
            <w:shd w:val="clear" w:color="auto" w:fill="16365D"/>
          </w:tcPr>
          <w:p w14:paraId="455B88A5" w14:textId="77777777" w:rsidR="009C388F" w:rsidRPr="009C388F" w:rsidRDefault="009C388F" w:rsidP="009C388F">
            <w:pPr>
              <w:rPr>
                <w:rFonts w:ascii="Arial" w:hAnsi="Arial" w:cs="Arial"/>
              </w:rPr>
            </w:pPr>
            <w:r w:rsidRPr="009C388F">
              <w:rPr>
                <w:rFonts w:ascii="Arial" w:hAnsi="Arial" w:cs="Arial"/>
              </w:rPr>
              <w:lastRenderedPageBreak/>
              <w:t>Rationale for Recommendation</w:t>
            </w:r>
          </w:p>
        </w:tc>
      </w:tr>
      <w:tr w:rsidR="009C388F" w:rsidRPr="009C388F" w14:paraId="146BD35C" w14:textId="77777777" w:rsidTr="009C388F">
        <w:trPr>
          <w:trHeight w:val="1673"/>
        </w:trPr>
        <w:tc>
          <w:tcPr>
            <w:tcW w:w="9273" w:type="dxa"/>
          </w:tcPr>
          <w:p w14:paraId="0D13EBE2" w14:textId="77777777" w:rsidR="009C388F" w:rsidRPr="009C388F" w:rsidRDefault="009C388F" w:rsidP="009C388F">
            <w:pPr>
              <w:rPr>
                <w:rFonts w:ascii="Arial" w:hAnsi="Arial" w:cs="Arial"/>
              </w:rPr>
            </w:pPr>
            <w:r w:rsidRPr="009C388F">
              <w:rPr>
                <w:rFonts w:ascii="Arial" w:hAnsi="Arial" w:cs="Arial"/>
              </w:rPr>
              <w:t>NICE guidelines recommend that D&amp;C is not offered as a treatment option for heavy menstrual bleeding. There is very little evidence to suggest that D&amp;C works to treat heavy periods and the one study identified by NICE showed the effects were only temporary. D&amp;C should not be used to investigate heavy menstrual bleeding as hysteroscopy and biopsy work better. Complications following D&amp;C are rare but include uterine perforation, infection, adhesions (scar tissue) inside the uterus and damage to the cervix.</w:t>
            </w:r>
          </w:p>
          <w:p w14:paraId="504CE989" w14:textId="77777777" w:rsidR="009C388F" w:rsidRPr="009C388F" w:rsidRDefault="009C388F" w:rsidP="009C388F">
            <w:pPr>
              <w:rPr>
                <w:rFonts w:ascii="Arial" w:hAnsi="Arial" w:cs="Arial"/>
              </w:rPr>
            </w:pPr>
          </w:p>
          <w:p w14:paraId="31A7FB98" w14:textId="77777777" w:rsidR="009C388F" w:rsidRPr="009C388F" w:rsidRDefault="009C388F" w:rsidP="009C388F">
            <w:pPr>
              <w:rPr>
                <w:rFonts w:ascii="Arial" w:hAnsi="Arial" w:cs="Arial"/>
              </w:rPr>
            </w:pPr>
          </w:p>
        </w:tc>
      </w:tr>
      <w:tr w:rsidR="009C388F" w:rsidRPr="009C388F" w14:paraId="384ECCD1" w14:textId="77777777" w:rsidTr="009C388F">
        <w:trPr>
          <w:trHeight w:val="213"/>
        </w:trPr>
        <w:tc>
          <w:tcPr>
            <w:tcW w:w="9273" w:type="dxa"/>
            <w:shd w:val="clear" w:color="auto" w:fill="0F243E" w:themeFill="text2" w:themeFillShade="80"/>
          </w:tcPr>
          <w:p w14:paraId="07981B6F" w14:textId="77777777" w:rsidR="009C388F" w:rsidRPr="009C388F" w:rsidRDefault="009C388F" w:rsidP="009C388F">
            <w:pPr>
              <w:rPr>
                <w:rFonts w:ascii="Arial" w:hAnsi="Arial" w:cs="Arial"/>
              </w:rPr>
            </w:pPr>
            <w:r w:rsidRPr="009C388F">
              <w:rPr>
                <w:rFonts w:ascii="Arial" w:hAnsi="Arial" w:cs="Arial"/>
              </w:rPr>
              <w:t>References</w:t>
            </w:r>
          </w:p>
          <w:p w14:paraId="71612ED6" w14:textId="77777777" w:rsidR="009C388F" w:rsidRPr="009C388F" w:rsidRDefault="009C388F" w:rsidP="009C388F">
            <w:pPr>
              <w:rPr>
                <w:rFonts w:ascii="Arial" w:hAnsi="Arial" w:cs="Arial"/>
              </w:rPr>
            </w:pPr>
          </w:p>
        </w:tc>
      </w:tr>
      <w:tr w:rsidR="009C388F" w:rsidRPr="009C388F" w14:paraId="12152A43" w14:textId="77777777" w:rsidTr="009C388F">
        <w:trPr>
          <w:trHeight w:val="3098"/>
        </w:trPr>
        <w:tc>
          <w:tcPr>
            <w:tcW w:w="9273" w:type="dxa"/>
          </w:tcPr>
          <w:p w14:paraId="4214382E" w14:textId="77777777" w:rsidR="009C388F" w:rsidRPr="009C388F" w:rsidRDefault="009C388F" w:rsidP="009C388F">
            <w:pPr>
              <w:rPr>
                <w:rFonts w:ascii="Arial" w:hAnsi="Arial" w:cs="Arial"/>
              </w:rPr>
            </w:pPr>
            <w:r w:rsidRPr="009C388F">
              <w:rPr>
                <w:rFonts w:ascii="Arial" w:hAnsi="Arial" w:cs="Arial"/>
              </w:rPr>
              <w:t>NICE guidance: https://</w:t>
            </w:r>
            <w:hyperlink r:id="rId12">
              <w:r w:rsidRPr="009C388F">
                <w:rPr>
                  <w:rStyle w:val="Hyperlink"/>
                  <w:rFonts w:ascii="Arial" w:hAnsi="Arial" w:cs="Arial"/>
                </w:rPr>
                <w:t>www.nice.org.uk/guidance/ng88</w:t>
              </w:r>
            </w:hyperlink>
          </w:p>
          <w:p w14:paraId="1CBC16C7" w14:textId="77777777" w:rsidR="009C388F" w:rsidRPr="009C388F" w:rsidRDefault="009C388F" w:rsidP="009C388F">
            <w:pPr>
              <w:rPr>
                <w:rFonts w:ascii="Arial" w:hAnsi="Arial" w:cs="Arial"/>
              </w:rPr>
            </w:pPr>
            <w:r w:rsidRPr="009C388F">
              <w:rPr>
                <w:rFonts w:ascii="Arial" w:hAnsi="Arial" w:cs="Arial"/>
              </w:rPr>
              <w:t>NHS advice: https://</w:t>
            </w:r>
            <w:hyperlink r:id="rId13" w:anchor="alternatives-to-">
              <w:r w:rsidRPr="009C388F">
                <w:rPr>
                  <w:rStyle w:val="Hyperlink"/>
                  <w:rFonts w:ascii="Arial" w:hAnsi="Arial" w:cs="Arial"/>
                </w:rPr>
                <w:t>www.nhs.uk/conditions/hysteroscopy/#alternatives-to-</w:t>
              </w:r>
            </w:hyperlink>
            <w:r w:rsidRPr="009C388F">
              <w:rPr>
                <w:rFonts w:ascii="Arial" w:hAnsi="Arial" w:cs="Arial"/>
              </w:rPr>
              <w:t xml:space="preserve"> hysteroscopy</w:t>
            </w:r>
          </w:p>
          <w:p w14:paraId="76C29081" w14:textId="77777777" w:rsidR="009C388F" w:rsidRPr="009C388F" w:rsidRDefault="009C388F" w:rsidP="009C388F">
            <w:pPr>
              <w:rPr>
                <w:rFonts w:ascii="Arial" w:hAnsi="Arial" w:cs="Arial"/>
              </w:rPr>
            </w:pPr>
            <w:proofErr w:type="spellStart"/>
            <w:r w:rsidRPr="009C388F">
              <w:rPr>
                <w:rFonts w:ascii="Arial" w:hAnsi="Arial" w:cs="Arial"/>
              </w:rPr>
              <w:t>MacKenzie</w:t>
            </w:r>
            <w:proofErr w:type="spellEnd"/>
            <w:r w:rsidRPr="009C388F">
              <w:rPr>
                <w:rFonts w:ascii="Arial" w:hAnsi="Arial" w:cs="Arial"/>
              </w:rPr>
              <w:t xml:space="preserve"> </w:t>
            </w:r>
            <w:proofErr w:type="spellStart"/>
            <w:r w:rsidRPr="009C388F">
              <w:rPr>
                <w:rFonts w:ascii="Arial" w:hAnsi="Arial" w:cs="Arial"/>
              </w:rPr>
              <w:t>IZ</w:t>
            </w:r>
            <w:proofErr w:type="spellEnd"/>
            <w:r w:rsidRPr="009C388F">
              <w:rPr>
                <w:rFonts w:ascii="Arial" w:hAnsi="Arial" w:cs="Arial"/>
              </w:rPr>
              <w:t>, Bibby JG. Critical assessment of dilatation and curettage in 1029 women. Lancet 1978;2(8089):566–8.</w:t>
            </w:r>
          </w:p>
          <w:p w14:paraId="212E9841" w14:textId="77777777" w:rsidR="009C388F" w:rsidRPr="009C388F" w:rsidRDefault="009C388F" w:rsidP="009C388F">
            <w:pPr>
              <w:rPr>
                <w:rFonts w:ascii="Arial" w:hAnsi="Arial" w:cs="Arial"/>
              </w:rPr>
            </w:pPr>
            <w:r w:rsidRPr="009C388F">
              <w:rPr>
                <w:rFonts w:ascii="Arial" w:hAnsi="Arial" w:cs="Arial"/>
              </w:rPr>
              <w:t xml:space="preserve">Ben-Baruch G, Seidman DS, Schiff E, et al. Outpatient endometrial sampling with the </w:t>
            </w:r>
            <w:proofErr w:type="spellStart"/>
            <w:r w:rsidRPr="009C388F">
              <w:rPr>
                <w:rFonts w:ascii="Arial" w:hAnsi="Arial" w:cs="Arial"/>
              </w:rPr>
              <w:t>Pipelle</w:t>
            </w:r>
            <w:proofErr w:type="spellEnd"/>
            <w:r w:rsidRPr="009C388F">
              <w:rPr>
                <w:rFonts w:ascii="Arial" w:hAnsi="Arial" w:cs="Arial"/>
              </w:rPr>
              <w:t xml:space="preserve"> curette. Gynecologic and Obstetric Investigation 1994;37(4):260–2.</w:t>
            </w:r>
          </w:p>
          <w:p w14:paraId="1393C4F7" w14:textId="77777777" w:rsidR="009C388F" w:rsidRPr="009C388F" w:rsidRDefault="009C388F" w:rsidP="009C388F">
            <w:pPr>
              <w:rPr>
                <w:rFonts w:ascii="Arial" w:hAnsi="Arial" w:cs="Arial"/>
              </w:rPr>
            </w:pPr>
            <w:proofErr w:type="spellStart"/>
            <w:r w:rsidRPr="009C388F">
              <w:rPr>
                <w:rFonts w:ascii="Arial" w:hAnsi="Arial" w:cs="Arial"/>
              </w:rPr>
              <w:t>Gimpelson</w:t>
            </w:r>
            <w:proofErr w:type="spellEnd"/>
            <w:r w:rsidRPr="009C388F">
              <w:rPr>
                <w:rFonts w:ascii="Arial" w:hAnsi="Arial" w:cs="Arial"/>
              </w:rPr>
              <w:t xml:space="preserve"> RJ, </w:t>
            </w:r>
            <w:proofErr w:type="spellStart"/>
            <w:r w:rsidRPr="009C388F">
              <w:rPr>
                <w:rFonts w:ascii="Arial" w:hAnsi="Arial" w:cs="Arial"/>
              </w:rPr>
              <w:t>Rappold</w:t>
            </w:r>
            <w:proofErr w:type="spellEnd"/>
            <w:r w:rsidRPr="009C388F">
              <w:rPr>
                <w:rFonts w:ascii="Arial" w:hAnsi="Arial" w:cs="Arial"/>
              </w:rPr>
              <w:t xml:space="preserve"> HO. A comparative study between panoramic hysteroscopy with directed biopsies and dilatation and curettage. A review of 276 cases. American Journal of Obstetrics and Gynecology 1988;158(3 Pt 1):489–92.</w:t>
            </w:r>
          </w:p>
          <w:p w14:paraId="26F7F8EC" w14:textId="77777777" w:rsidR="009C388F" w:rsidRPr="009C388F" w:rsidRDefault="009C388F" w:rsidP="009C388F">
            <w:pPr>
              <w:rPr>
                <w:rFonts w:ascii="Arial" w:hAnsi="Arial" w:cs="Arial"/>
              </w:rPr>
            </w:pPr>
            <w:r w:rsidRPr="009C388F">
              <w:rPr>
                <w:rFonts w:ascii="Arial" w:hAnsi="Arial" w:cs="Arial"/>
              </w:rPr>
              <w:t>Haynes PJ, Hodgson H, Anderson AB, et al. Measurement of menstrual blood loss in patients complaining of menorrhagia. British Journal of Obstetrics and Gynaecology 1977;84(10):763–8.</w:t>
            </w:r>
          </w:p>
        </w:tc>
      </w:tr>
    </w:tbl>
    <w:p w14:paraId="51030C7A" w14:textId="77777777" w:rsidR="009C388F" w:rsidRDefault="009C388F" w:rsidP="009C388F">
      <w:pPr>
        <w:rPr>
          <w:rFonts w:ascii="Arial" w:hAnsi="Arial" w:cs="Arial"/>
          <w:i/>
          <w:sz w:val="24"/>
        </w:rPr>
      </w:pPr>
    </w:p>
    <w:p w14:paraId="7D0290BD" w14:textId="77777777" w:rsidR="009C388F" w:rsidRDefault="009C388F" w:rsidP="009C388F">
      <w:pPr>
        <w:rPr>
          <w:rFonts w:ascii="Arial" w:hAnsi="Arial" w:cs="Arial"/>
          <w:i/>
          <w:sz w:val="24"/>
        </w:rPr>
      </w:pPr>
    </w:p>
    <w:p w14:paraId="66779C7E" w14:textId="77777777" w:rsidR="009C388F" w:rsidRDefault="009C388F" w:rsidP="009C388F">
      <w:pPr>
        <w:rPr>
          <w:rFonts w:ascii="Arial" w:hAnsi="Arial" w:cs="Arial"/>
          <w:i/>
          <w:sz w:val="24"/>
        </w:rPr>
      </w:pPr>
    </w:p>
    <w:p w14:paraId="15BB751A" w14:textId="77777777" w:rsidR="009C388F" w:rsidRPr="0002074D" w:rsidRDefault="009C388F" w:rsidP="009C388F">
      <w:pPr>
        <w:rPr>
          <w:rFonts w:ascii="Arial" w:hAnsi="Arial" w:cs="Arial"/>
          <w:i/>
          <w:sz w:val="24"/>
        </w:rPr>
      </w:pPr>
      <w:r w:rsidRPr="0002074D">
        <w:rPr>
          <w:rFonts w:ascii="Arial" w:hAnsi="Arial" w:cs="Arial"/>
          <w:i/>
          <w:sz w:val="24"/>
        </w:rPr>
        <w:t>Evidence-Based Interventions: Guidance for CCGs</w:t>
      </w:r>
    </w:p>
    <w:p w14:paraId="53882C6D" w14:textId="77777777" w:rsidR="009C388F" w:rsidRPr="0002074D" w:rsidRDefault="009C388F" w:rsidP="009C388F">
      <w:pPr>
        <w:rPr>
          <w:rFonts w:ascii="Arial" w:hAnsi="Arial" w:cs="Arial"/>
          <w:i/>
          <w:sz w:val="20"/>
        </w:rPr>
      </w:pPr>
      <w:r w:rsidRPr="0002074D">
        <w:rPr>
          <w:rFonts w:ascii="Arial" w:hAnsi="Arial" w:cs="Arial"/>
          <w:i/>
          <w:sz w:val="20"/>
        </w:rPr>
        <w:t>Published by NHS England in partnership with NHS Clinical Commissioners, the Academy of Medical Royal Colleges, NHS Improvement and the National Institute for Health and Care Excellence</w:t>
      </w:r>
    </w:p>
    <w:p w14:paraId="2A1D4477" w14:textId="77777777" w:rsidR="009C388F" w:rsidRPr="0002074D" w:rsidRDefault="009C388F" w:rsidP="009C388F">
      <w:pPr>
        <w:rPr>
          <w:rFonts w:ascii="Arial" w:hAnsi="Arial" w:cs="Arial"/>
          <w:i/>
        </w:rPr>
      </w:pPr>
      <w:r w:rsidRPr="0002074D">
        <w:rPr>
          <w:rFonts w:ascii="Arial" w:hAnsi="Arial" w:cs="Arial"/>
          <w:i/>
        </w:rPr>
        <w:t>Version number: 1</w:t>
      </w:r>
    </w:p>
    <w:p w14:paraId="3FD84E2A" w14:textId="77777777" w:rsidR="009C388F" w:rsidRPr="0002074D" w:rsidRDefault="009C388F" w:rsidP="009C388F">
      <w:pPr>
        <w:rPr>
          <w:rFonts w:ascii="Arial" w:hAnsi="Arial" w:cs="Arial"/>
          <w:i/>
        </w:rPr>
      </w:pPr>
      <w:r w:rsidRPr="0002074D">
        <w:rPr>
          <w:rFonts w:ascii="Arial" w:hAnsi="Arial" w:cs="Arial"/>
          <w:i/>
        </w:rPr>
        <w:t>First published: 28 November 2018</w:t>
      </w:r>
    </w:p>
    <w:p w14:paraId="683B7F4A" w14:textId="77777777" w:rsidR="009C388F" w:rsidRPr="0002074D" w:rsidRDefault="009C388F" w:rsidP="009C388F">
      <w:pPr>
        <w:rPr>
          <w:rFonts w:ascii="Arial" w:hAnsi="Arial" w:cs="Arial"/>
          <w:i/>
        </w:rPr>
      </w:pPr>
      <w:r w:rsidRPr="0002074D">
        <w:rPr>
          <w:rFonts w:ascii="Arial" w:hAnsi="Arial" w:cs="Arial"/>
          <w:i/>
        </w:rPr>
        <w:t>Prepared by: NHS England Medical directorate and Strategy and Innovation directorate</w:t>
      </w:r>
    </w:p>
    <w:p w14:paraId="4D8F3883" w14:textId="77777777" w:rsidR="009C388F" w:rsidRPr="0002074D" w:rsidRDefault="009C388F" w:rsidP="009C388F">
      <w:pPr>
        <w:rPr>
          <w:rFonts w:ascii="Arial" w:hAnsi="Arial" w:cs="Arial"/>
          <w:i/>
        </w:rPr>
      </w:pPr>
      <w:r w:rsidRPr="0002074D">
        <w:rPr>
          <w:rFonts w:ascii="Arial" w:hAnsi="Arial" w:cs="Arial"/>
          <w:i/>
        </w:rPr>
        <w:t>Classification: OFFICIAL</w:t>
      </w:r>
    </w:p>
    <w:p w14:paraId="0A77D262" w14:textId="77777777" w:rsidR="009C388F" w:rsidRPr="0002074D" w:rsidRDefault="009C388F" w:rsidP="009C388F">
      <w:pPr>
        <w:rPr>
          <w:rFonts w:ascii="Arial" w:hAnsi="Arial" w:cs="Arial"/>
          <w:i/>
        </w:rPr>
      </w:pPr>
      <w:r w:rsidRPr="0002074D">
        <w:rPr>
          <w:rFonts w:ascii="Arial" w:hAnsi="Arial" w:cs="Arial"/>
          <w:i/>
        </w:rPr>
        <w:t>NHS England Publications Gateway Reference: 08659</w:t>
      </w:r>
    </w:p>
    <w:p w14:paraId="31CEB672" w14:textId="77777777" w:rsidR="0065099C" w:rsidRPr="009C388F" w:rsidRDefault="0065099C" w:rsidP="009C388F">
      <w:pPr>
        <w:rPr>
          <w:rFonts w:ascii="Arial" w:hAnsi="Arial" w:cs="Arial"/>
        </w:rPr>
      </w:pPr>
    </w:p>
    <w:sectPr w:rsidR="0065099C" w:rsidRPr="009C388F" w:rsidSect="0019276C">
      <w:headerReference w:type="default" r:id="rId14"/>
      <w:pgSz w:w="12240" w:h="15840"/>
      <w:pgMar w:top="2280" w:right="1041"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38BD3" w14:textId="77777777" w:rsidR="0019276C" w:rsidRDefault="0019276C" w:rsidP="009C388F">
      <w:r>
        <w:separator/>
      </w:r>
    </w:p>
  </w:endnote>
  <w:endnote w:type="continuationSeparator" w:id="0">
    <w:p w14:paraId="1BF4FB70" w14:textId="77777777" w:rsidR="0019276C" w:rsidRDefault="0019276C" w:rsidP="009C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9F9C5" w14:textId="77777777" w:rsidR="0019276C" w:rsidRDefault="0019276C" w:rsidP="009C388F">
      <w:r>
        <w:separator/>
      </w:r>
    </w:p>
  </w:footnote>
  <w:footnote w:type="continuationSeparator" w:id="0">
    <w:p w14:paraId="7A2D6655" w14:textId="77777777" w:rsidR="0019276C" w:rsidRDefault="0019276C" w:rsidP="009C3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8EDE" w14:textId="77777777" w:rsidR="0019276C" w:rsidRDefault="0019276C">
    <w:pPr>
      <w:pStyle w:val="Header"/>
    </w:pPr>
  </w:p>
  <w:p w14:paraId="2CA4B9CF" w14:textId="77777777" w:rsidR="0019276C" w:rsidRDefault="0019276C">
    <w:pPr>
      <w:pStyle w:val="Header"/>
    </w:pPr>
    <w:r w:rsidRPr="00573022">
      <w:rPr>
        <w:noProof/>
        <w:lang w:val="en-GB"/>
      </w:rPr>
      <w:drawing>
        <wp:inline distT="0" distB="0" distL="0" distR="0" wp14:anchorId="48247C38" wp14:editId="3ABE4F5A">
          <wp:extent cx="3992880" cy="766769"/>
          <wp:effectExtent l="0" t="0" r="7620" b="0"/>
          <wp:docPr id="7" name="Picture 6" descr="Frimley Health and Care logo Final RGB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Frimley Health and Care logo Final RGB HIGH res.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94498" cy="767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0997"/>
    <w:multiLevelType w:val="hybridMultilevel"/>
    <w:tmpl w:val="3F480AFC"/>
    <w:lvl w:ilvl="0" w:tplc="B5945BF8">
      <w:numFmt w:val="bullet"/>
      <w:lvlText w:val="□"/>
      <w:lvlJc w:val="left"/>
      <w:pPr>
        <w:ind w:left="827" w:hanging="360"/>
      </w:pPr>
      <w:rPr>
        <w:rFonts w:ascii="Times New Roman" w:eastAsia="Times New Roman" w:hAnsi="Times New Roman" w:cs="Times New Roman" w:hint="default"/>
        <w:w w:val="75"/>
        <w:sz w:val="24"/>
        <w:szCs w:val="24"/>
      </w:rPr>
    </w:lvl>
    <w:lvl w:ilvl="1" w:tplc="D286E5F8">
      <w:numFmt w:val="bullet"/>
      <w:lvlText w:val="•"/>
      <w:lvlJc w:val="left"/>
      <w:pPr>
        <w:ind w:left="1642" w:hanging="360"/>
      </w:pPr>
      <w:rPr>
        <w:rFonts w:hint="default"/>
      </w:rPr>
    </w:lvl>
    <w:lvl w:ilvl="2" w:tplc="1610E338">
      <w:numFmt w:val="bullet"/>
      <w:lvlText w:val="•"/>
      <w:lvlJc w:val="left"/>
      <w:pPr>
        <w:ind w:left="2465" w:hanging="360"/>
      </w:pPr>
      <w:rPr>
        <w:rFonts w:hint="default"/>
      </w:rPr>
    </w:lvl>
    <w:lvl w:ilvl="3" w:tplc="5B3A17DA">
      <w:numFmt w:val="bullet"/>
      <w:lvlText w:val="•"/>
      <w:lvlJc w:val="left"/>
      <w:pPr>
        <w:ind w:left="3287" w:hanging="360"/>
      </w:pPr>
      <w:rPr>
        <w:rFonts w:hint="default"/>
      </w:rPr>
    </w:lvl>
    <w:lvl w:ilvl="4" w:tplc="708AC7C4">
      <w:numFmt w:val="bullet"/>
      <w:lvlText w:val="•"/>
      <w:lvlJc w:val="left"/>
      <w:pPr>
        <w:ind w:left="4110" w:hanging="360"/>
      </w:pPr>
      <w:rPr>
        <w:rFonts w:hint="default"/>
      </w:rPr>
    </w:lvl>
    <w:lvl w:ilvl="5" w:tplc="47B663B8">
      <w:numFmt w:val="bullet"/>
      <w:lvlText w:val="•"/>
      <w:lvlJc w:val="left"/>
      <w:pPr>
        <w:ind w:left="4932" w:hanging="360"/>
      </w:pPr>
      <w:rPr>
        <w:rFonts w:hint="default"/>
      </w:rPr>
    </w:lvl>
    <w:lvl w:ilvl="6" w:tplc="123CFDA0">
      <w:numFmt w:val="bullet"/>
      <w:lvlText w:val="•"/>
      <w:lvlJc w:val="left"/>
      <w:pPr>
        <w:ind w:left="5755" w:hanging="360"/>
      </w:pPr>
      <w:rPr>
        <w:rFonts w:hint="default"/>
      </w:rPr>
    </w:lvl>
    <w:lvl w:ilvl="7" w:tplc="84486828">
      <w:numFmt w:val="bullet"/>
      <w:lvlText w:val="•"/>
      <w:lvlJc w:val="left"/>
      <w:pPr>
        <w:ind w:left="6577" w:hanging="360"/>
      </w:pPr>
      <w:rPr>
        <w:rFonts w:hint="default"/>
      </w:rPr>
    </w:lvl>
    <w:lvl w:ilvl="8" w:tplc="281E62E8">
      <w:numFmt w:val="bullet"/>
      <w:lvlText w:val="•"/>
      <w:lvlJc w:val="left"/>
      <w:pPr>
        <w:ind w:left="7400" w:hanging="360"/>
      </w:pPr>
      <w:rPr>
        <w:rFonts w:hint="default"/>
      </w:rPr>
    </w:lvl>
  </w:abstractNum>
  <w:abstractNum w:abstractNumId="1" w15:restartNumberingAfterBreak="0">
    <w:nsid w:val="339A4880"/>
    <w:multiLevelType w:val="hybridMultilevel"/>
    <w:tmpl w:val="390498E8"/>
    <w:lvl w:ilvl="0" w:tplc="896A1BEC">
      <w:start w:val="1"/>
      <w:numFmt w:val="decimal"/>
      <w:lvlText w:val="%1."/>
      <w:lvlJc w:val="left"/>
      <w:pPr>
        <w:ind w:left="827" w:hanging="360"/>
        <w:jc w:val="left"/>
      </w:pPr>
      <w:rPr>
        <w:rFonts w:ascii="Times New Roman" w:eastAsia="Times New Roman" w:hAnsi="Times New Roman" w:cs="Times New Roman" w:hint="default"/>
        <w:w w:val="110"/>
        <w:sz w:val="24"/>
        <w:szCs w:val="24"/>
      </w:rPr>
    </w:lvl>
    <w:lvl w:ilvl="1" w:tplc="6C4AD4A8">
      <w:numFmt w:val="bullet"/>
      <w:lvlText w:val="•"/>
      <w:lvlJc w:val="left"/>
      <w:pPr>
        <w:ind w:left="1642" w:hanging="360"/>
      </w:pPr>
      <w:rPr>
        <w:rFonts w:hint="default"/>
      </w:rPr>
    </w:lvl>
    <w:lvl w:ilvl="2" w:tplc="EA0448B0">
      <w:numFmt w:val="bullet"/>
      <w:lvlText w:val="•"/>
      <w:lvlJc w:val="left"/>
      <w:pPr>
        <w:ind w:left="2465" w:hanging="360"/>
      </w:pPr>
      <w:rPr>
        <w:rFonts w:hint="default"/>
      </w:rPr>
    </w:lvl>
    <w:lvl w:ilvl="3" w:tplc="D79CFB76">
      <w:numFmt w:val="bullet"/>
      <w:lvlText w:val="•"/>
      <w:lvlJc w:val="left"/>
      <w:pPr>
        <w:ind w:left="3287" w:hanging="360"/>
      </w:pPr>
      <w:rPr>
        <w:rFonts w:hint="default"/>
      </w:rPr>
    </w:lvl>
    <w:lvl w:ilvl="4" w:tplc="75967AD4">
      <w:numFmt w:val="bullet"/>
      <w:lvlText w:val="•"/>
      <w:lvlJc w:val="left"/>
      <w:pPr>
        <w:ind w:left="4110" w:hanging="360"/>
      </w:pPr>
      <w:rPr>
        <w:rFonts w:hint="default"/>
      </w:rPr>
    </w:lvl>
    <w:lvl w:ilvl="5" w:tplc="7F4E3014">
      <w:numFmt w:val="bullet"/>
      <w:lvlText w:val="•"/>
      <w:lvlJc w:val="left"/>
      <w:pPr>
        <w:ind w:left="4932" w:hanging="360"/>
      </w:pPr>
      <w:rPr>
        <w:rFonts w:hint="default"/>
      </w:rPr>
    </w:lvl>
    <w:lvl w:ilvl="6" w:tplc="F7CE2EB8">
      <w:numFmt w:val="bullet"/>
      <w:lvlText w:val="•"/>
      <w:lvlJc w:val="left"/>
      <w:pPr>
        <w:ind w:left="5755" w:hanging="360"/>
      </w:pPr>
      <w:rPr>
        <w:rFonts w:hint="default"/>
      </w:rPr>
    </w:lvl>
    <w:lvl w:ilvl="7" w:tplc="B10C85FE">
      <w:numFmt w:val="bullet"/>
      <w:lvlText w:val="•"/>
      <w:lvlJc w:val="left"/>
      <w:pPr>
        <w:ind w:left="6577" w:hanging="360"/>
      </w:pPr>
      <w:rPr>
        <w:rFonts w:hint="default"/>
      </w:rPr>
    </w:lvl>
    <w:lvl w:ilvl="8" w:tplc="EA14A512">
      <w:numFmt w:val="bullet"/>
      <w:lvlText w:val="•"/>
      <w:lvlJc w:val="left"/>
      <w:pPr>
        <w:ind w:left="7400" w:hanging="360"/>
      </w:pPr>
      <w:rPr>
        <w:rFonts w:hint="default"/>
      </w:rPr>
    </w:lvl>
  </w:abstractNum>
  <w:abstractNum w:abstractNumId="2" w15:restartNumberingAfterBreak="0">
    <w:nsid w:val="5D2F14AE"/>
    <w:multiLevelType w:val="hybridMultilevel"/>
    <w:tmpl w:val="0B923DB0"/>
    <w:lvl w:ilvl="0" w:tplc="D7DCADFE">
      <w:start w:val="9"/>
      <w:numFmt w:val="decimal"/>
      <w:lvlText w:val="%1"/>
      <w:lvlJc w:val="left"/>
      <w:pPr>
        <w:ind w:left="218" w:hanging="156"/>
        <w:jc w:val="left"/>
      </w:pPr>
      <w:rPr>
        <w:rFonts w:hint="default"/>
        <w:w w:val="111"/>
        <w:position w:val="8"/>
      </w:rPr>
    </w:lvl>
    <w:lvl w:ilvl="1" w:tplc="575494F2">
      <w:start w:val="1"/>
      <w:numFmt w:val="decimal"/>
      <w:lvlText w:val="%2."/>
      <w:lvlJc w:val="left"/>
      <w:pPr>
        <w:ind w:left="1159" w:hanging="360"/>
        <w:jc w:val="left"/>
      </w:pPr>
      <w:rPr>
        <w:rFonts w:ascii="Times New Roman" w:eastAsia="Times New Roman" w:hAnsi="Times New Roman" w:cs="Times New Roman" w:hint="default"/>
        <w:w w:val="110"/>
        <w:sz w:val="24"/>
        <w:szCs w:val="24"/>
      </w:rPr>
    </w:lvl>
    <w:lvl w:ilvl="2" w:tplc="B2363CB2">
      <w:numFmt w:val="bullet"/>
      <w:lvlText w:val="•"/>
      <w:lvlJc w:val="left"/>
      <w:pPr>
        <w:ind w:left="2076" w:hanging="360"/>
      </w:pPr>
      <w:rPr>
        <w:rFonts w:hint="default"/>
      </w:rPr>
    </w:lvl>
    <w:lvl w:ilvl="3" w:tplc="DB7840C6">
      <w:numFmt w:val="bullet"/>
      <w:lvlText w:val="•"/>
      <w:lvlJc w:val="left"/>
      <w:pPr>
        <w:ind w:left="2992" w:hanging="360"/>
      </w:pPr>
      <w:rPr>
        <w:rFonts w:hint="default"/>
      </w:rPr>
    </w:lvl>
    <w:lvl w:ilvl="4" w:tplc="4F04E326">
      <w:numFmt w:val="bullet"/>
      <w:lvlText w:val="•"/>
      <w:lvlJc w:val="left"/>
      <w:pPr>
        <w:ind w:left="3908" w:hanging="360"/>
      </w:pPr>
      <w:rPr>
        <w:rFonts w:hint="default"/>
      </w:rPr>
    </w:lvl>
    <w:lvl w:ilvl="5" w:tplc="DE285AAE">
      <w:numFmt w:val="bullet"/>
      <w:lvlText w:val="•"/>
      <w:lvlJc w:val="left"/>
      <w:pPr>
        <w:ind w:left="4825" w:hanging="360"/>
      </w:pPr>
      <w:rPr>
        <w:rFonts w:hint="default"/>
      </w:rPr>
    </w:lvl>
    <w:lvl w:ilvl="6" w:tplc="45CC091C">
      <w:numFmt w:val="bullet"/>
      <w:lvlText w:val="•"/>
      <w:lvlJc w:val="left"/>
      <w:pPr>
        <w:ind w:left="5741" w:hanging="360"/>
      </w:pPr>
      <w:rPr>
        <w:rFonts w:hint="default"/>
      </w:rPr>
    </w:lvl>
    <w:lvl w:ilvl="7" w:tplc="B8786294">
      <w:numFmt w:val="bullet"/>
      <w:lvlText w:val="•"/>
      <w:lvlJc w:val="left"/>
      <w:pPr>
        <w:ind w:left="6657" w:hanging="360"/>
      </w:pPr>
      <w:rPr>
        <w:rFonts w:hint="default"/>
      </w:rPr>
    </w:lvl>
    <w:lvl w:ilvl="8" w:tplc="5EB0DB92">
      <w:numFmt w:val="bullet"/>
      <w:lvlText w:val="•"/>
      <w:lvlJc w:val="left"/>
      <w:pPr>
        <w:ind w:left="7573" w:hanging="360"/>
      </w:pPr>
      <w:rPr>
        <w:rFonts w:hint="default"/>
      </w:rPr>
    </w:lvl>
  </w:abstractNum>
  <w:abstractNum w:abstractNumId="3" w15:restartNumberingAfterBreak="0">
    <w:nsid w:val="693A31B8"/>
    <w:multiLevelType w:val="hybridMultilevel"/>
    <w:tmpl w:val="4AF401EC"/>
    <w:lvl w:ilvl="0" w:tplc="100AB976">
      <w:start w:val="1"/>
      <w:numFmt w:val="upperLetter"/>
      <w:lvlText w:val="%1."/>
      <w:lvlJc w:val="left"/>
      <w:pPr>
        <w:ind w:left="218" w:hanging="310"/>
        <w:jc w:val="left"/>
      </w:pPr>
      <w:rPr>
        <w:rFonts w:ascii="Times New Roman" w:eastAsia="Times New Roman" w:hAnsi="Times New Roman" w:cs="Times New Roman" w:hint="default"/>
        <w:spacing w:val="-6"/>
        <w:w w:val="99"/>
        <w:sz w:val="24"/>
        <w:szCs w:val="24"/>
      </w:rPr>
    </w:lvl>
    <w:lvl w:ilvl="1" w:tplc="891ECDCC">
      <w:numFmt w:val="bullet"/>
      <w:lvlText w:val="•"/>
      <w:lvlJc w:val="left"/>
      <w:pPr>
        <w:ind w:left="1138" w:hanging="310"/>
      </w:pPr>
      <w:rPr>
        <w:rFonts w:hint="default"/>
      </w:rPr>
    </w:lvl>
    <w:lvl w:ilvl="2" w:tplc="C212A108">
      <w:numFmt w:val="bullet"/>
      <w:lvlText w:val="•"/>
      <w:lvlJc w:val="left"/>
      <w:pPr>
        <w:ind w:left="2057" w:hanging="310"/>
      </w:pPr>
      <w:rPr>
        <w:rFonts w:hint="default"/>
      </w:rPr>
    </w:lvl>
    <w:lvl w:ilvl="3" w:tplc="2A7A1890">
      <w:numFmt w:val="bullet"/>
      <w:lvlText w:val="•"/>
      <w:lvlJc w:val="left"/>
      <w:pPr>
        <w:ind w:left="2975" w:hanging="310"/>
      </w:pPr>
      <w:rPr>
        <w:rFonts w:hint="default"/>
      </w:rPr>
    </w:lvl>
    <w:lvl w:ilvl="4" w:tplc="CFAC6E8C">
      <w:numFmt w:val="bullet"/>
      <w:lvlText w:val="•"/>
      <w:lvlJc w:val="left"/>
      <w:pPr>
        <w:ind w:left="3894" w:hanging="310"/>
      </w:pPr>
      <w:rPr>
        <w:rFonts w:hint="default"/>
      </w:rPr>
    </w:lvl>
    <w:lvl w:ilvl="5" w:tplc="535C8206">
      <w:numFmt w:val="bullet"/>
      <w:lvlText w:val="•"/>
      <w:lvlJc w:val="left"/>
      <w:pPr>
        <w:ind w:left="4813" w:hanging="310"/>
      </w:pPr>
      <w:rPr>
        <w:rFonts w:hint="default"/>
      </w:rPr>
    </w:lvl>
    <w:lvl w:ilvl="6" w:tplc="B41C0758">
      <w:numFmt w:val="bullet"/>
      <w:lvlText w:val="•"/>
      <w:lvlJc w:val="left"/>
      <w:pPr>
        <w:ind w:left="5731" w:hanging="310"/>
      </w:pPr>
      <w:rPr>
        <w:rFonts w:hint="default"/>
      </w:rPr>
    </w:lvl>
    <w:lvl w:ilvl="7" w:tplc="0A68A112">
      <w:numFmt w:val="bullet"/>
      <w:lvlText w:val="•"/>
      <w:lvlJc w:val="left"/>
      <w:pPr>
        <w:ind w:left="6650" w:hanging="310"/>
      </w:pPr>
      <w:rPr>
        <w:rFonts w:hint="default"/>
      </w:rPr>
    </w:lvl>
    <w:lvl w:ilvl="8" w:tplc="B6D6E77C">
      <w:numFmt w:val="bullet"/>
      <w:lvlText w:val="•"/>
      <w:lvlJc w:val="left"/>
      <w:pPr>
        <w:ind w:left="7569" w:hanging="310"/>
      </w:pPr>
      <w:rPr>
        <w:rFonts w:hint="default"/>
      </w:rPr>
    </w:lvl>
  </w:abstractNum>
  <w:num w:numId="1" w16cid:durableId="2002537109">
    <w:abstractNumId w:val="1"/>
  </w:num>
  <w:num w:numId="2" w16cid:durableId="1768187395">
    <w:abstractNumId w:val="0"/>
  </w:num>
  <w:num w:numId="3" w16cid:durableId="352998375">
    <w:abstractNumId w:val="2"/>
  </w:num>
  <w:num w:numId="4" w16cid:durableId="1391688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88F"/>
    <w:rsid w:val="0019276C"/>
    <w:rsid w:val="0065099C"/>
    <w:rsid w:val="009C388F"/>
    <w:rsid w:val="00A61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D093B"/>
  <w15:docId w15:val="{FEBD85B3-B421-4BEC-A1FB-A797D313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9C388F"/>
    <w:pPr>
      <w:widowControl w:val="0"/>
      <w:autoSpaceDE w:val="0"/>
      <w:autoSpaceDN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C388F"/>
    <w:rPr>
      <w:sz w:val="24"/>
      <w:szCs w:val="24"/>
    </w:rPr>
  </w:style>
  <w:style w:type="character" w:customStyle="1" w:styleId="BodyTextChar">
    <w:name w:val="Body Text Char"/>
    <w:basedOn w:val="DefaultParagraphFont"/>
    <w:link w:val="BodyText"/>
    <w:uiPriority w:val="1"/>
    <w:rsid w:val="009C388F"/>
    <w:rPr>
      <w:sz w:val="24"/>
      <w:szCs w:val="24"/>
      <w:lang w:val="en-US" w:eastAsia="en-US"/>
    </w:rPr>
  </w:style>
  <w:style w:type="paragraph" w:styleId="ListParagraph">
    <w:name w:val="List Paragraph"/>
    <w:basedOn w:val="Normal"/>
    <w:uiPriority w:val="1"/>
    <w:qFormat/>
    <w:rsid w:val="009C388F"/>
    <w:pPr>
      <w:ind w:left="645" w:hanging="360"/>
    </w:pPr>
  </w:style>
  <w:style w:type="paragraph" w:customStyle="1" w:styleId="TableParagraph">
    <w:name w:val="Table Paragraph"/>
    <w:basedOn w:val="Normal"/>
    <w:uiPriority w:val="1"/>
    <w:qFormat/>
    <w:rsid w:val="009C388F"/>
  </w:style>
  <w:style w:type="character" w:styleId="Hyperlink">
    <w:name w:val="Hyperlink"/>
    <w:basedOn w:val="DefaultParagraphFont"/>
    <w:rsid w:val="009C388F"/>
    <w:rPr>
      <w:color w:val="0000FF" w:themeColor="hyperlink"/>
      <w:u w:val="single"/>
    </w:rPr>
  </w:style>
  <w:style w:type="paragraph" w:styleId="Header">
    <w:name w:val="header"/>
    <w:basedOn w:val="Normal"/>
    <w:link w:val="HeaderChar"/>
    <w:uiPriority w:val="99"/>
    <w:rsid w:val="009C388F"/>
    <w:pPr>
      <w:tabs>
        <w:tab w:val="center" w:pos="4513"/>
        <w:tab w:val="right" w:pos="9026"/>
      </w:tabs>
    </w:pPr>
  </w:style>
  <w:style w:type="character" w:customStyle="1" w:styleId="HeaderChar">
    <w:name w:val="Header Char"/>
    <w:basedOn w:val="DefaultParagraphFont"/>
    <w:link w:val="Header"/>
    <w:uiPriority w:val="99"/>
    <w:rsid w:val="009C388F"/>
    <w:rPr>
      <w:sz w:val="22"/>
      <w:szCs w:val="22"/>
      <w:lang w:val="en-US" w:eastAsia="en-US"/>
    </w:rPr>
  </w:style>
  <w:style w:type="paragraph" w:styleId="Footer">
    <w:name w:val="footer"/>
    <w:basedOn w:val="Normal"/>
    <w:link w:val="FooterChar"/>
    <w:rsid w:val="009C388F"/>
    <w:pPr>
      <w:tabs>
        <w:tab w:val="center" w:pos="4513"/>
        <w:tab w:val="right" w:pos="9026"/>
      </w:tabs>
    </w:pPr>
  </w:style>
  <w:style w:type="character" w:customStyle="1" w:styleId="FooterChar">
    <w:name w:val="Footer Char"/>
    <w:basedOn w:val="DefaultParagraphFont"/>
    <w:link w:val="Footer"/>
    <w:rsid w:val="009C388F"/>
    <w:rPr>
      <w:sz w:val="22"/>
      <w:szCs w:val="22"/>
      <w:lang w:val="en-US" w:eastAsia="en-US"/>
    </w:rPr>
  </w:style>
  <w:style w:type="paragraph" w:styleId="BalloonText">
    <w:name w:val="Balloon Text"/>
    <w:basedOn w:val="Normal"/>
    <w:link w:val="BalloonTextChar"/>
    <w:rsid w:val="009C388F"/>
    <w:rPr>
      <w:rFonts w:ascii="Tahoma" w:hAnsi="Tahoma" w:cs="Tahoma"/>
      <w:sz w:val="16"/>
      <w:szCs w:val="16"/>
    </w:rPr>
  </w:style>
  <w:style w:type="character" w:customStyle="1" w:styleId="BalloonTextChar">
    <w:name w:val="Balloon Text Char"/>
    <w:basedOn w:val="DefaultParagraphFont"/>
    <w:link w:val="BalloonText"/>
    <w:rsid w:val="009C388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88" TargetMode="External"/><Relationship Id="rId13" Type="http://schemas.openxmlformats.org/officeDocument/2006/relationships/hyperlink" Target="http://www.nhs.uk/conditions/hysteroscopy/" TargetMode="External"/><Relationship Id="rId3" Type="http://schemas.openxmlformats.org/officeDocument/2006/relationships/settings" Target="settings.xml"/><Relationship Id="rId7" Type="http://schemas.openxmlformats.org/officeDocument/2006/relationships/hyperlink" Target="https://www.aomrc.org.uk/ebi/wp-content/uploads/2021/05/ebi-statutory-guidance.pdf" TargetMode="External"/><Relationship Id="rId12" Type="http://schemas.openxmlformats.org/officeDocument/2006/relationships/hyperlink" Target="http://www.nice.org.uk/guidance/ng8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conditions/hysteroscop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ice.org.uk/guidance/ng88" TargetMode="External"/><Relationship Id="rId4" Type="http://schemas.openxmlformats.org/officeDocument/2006/relationships/webSettings" Target="webSettings.xml"/><Relationship Id="rId9" Type="http://schemas.openxmlformats.org/officeDocument/2006/relationships/hyperlink" Target="http://www.nhs.uk/conditions/hysteroscop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Hall - Senior Contracts Manager</dc:creator>
  <cp:lastModifiedBy>HALL, Karen (FRIMLEY HEALTH NHS FOUNDATION TRUST)</cp:lastModifiedBy>
  <cp:revision>2</cp:revision>
  <dcterms:created xsi:type="dcterms:W3CDTF">2023-02-22T13:38:00Z</dcterms:created>
  <dcterms:modified xsi:type="dcterms:W3CDTF">2023-02-22T13:38:00Z</dcterms:modified>
</cp:coreProperties>
</file>