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241190">
        <w:rPr>
          <w:u w:val="single"/>
        </w:rPr>
        <w:t>Febrile Convulsions</w:t>
      </w:r>
      <w:r w:rsidR="00241190">
        <w:tab/>
      </w:r>
      <w:r w:rsidR="00241190">
        <w:tab/>
      </w:r>
      <w:r w:rsidR="00241190">
        <w:tab/>
      </w:r>
      <w:r w:rsidR="00241190">
        <w:tab/>
      </w:r>
      <w:r w:rsidR="00241190">
        <w:tab/>
      </w:r>
      <w:r w:rsidR="00241190">
        <w:tab/>
      </w:r>
      <w:r w:rsidR="00241190">
        <w:tab/>
      </w:r>
      <w:r w:rsidR="00241190">
        <w:tab/>
      </w:r>
      <w:r w:rsidR="00360E73">
        <w:rPr>
          <w:u w:val="single"/>
        </w:rPr>
        <w:t>Site:</w:t>
      </w:r>
      <w:r w:rsidR="0024119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3335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35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Obtain a clear history from the parent, patient and an eyewitness.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should define factors that may have promoted the convulsion, include assessment for possible meningitis or encephalitis.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History should include a description of the seizure and its length, post 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ictal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phase.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Neurodevelopment of the child.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Explore possible causes of the temperature.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Past medical history should include previous febrile convulsions ( a small group the convulsions are recurrent)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" fillcolor="#c6d9f1 [671]" stroked="f" strokeweight="2pt">
                <v:textbox>
                  <w:txbxContent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Obtain a clear history from the parent, patient and an eyewitness.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should define factors that may have promoted the convulsion, include assessment for possible meningitis or encephalitis.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History should include a description of the seizure and its length, post 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ictal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phase.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Neurodevelopment of the child.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Explore possible causes of the temperature.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Past medical history should include previous febrile convulsions ( a small group the convulsions are recurrent)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241190" w:rsidRDefault="00241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5AA5" wp14:editId="553D5AFC">
                <wp:simplePos x="0" y="0"/>
                <wp:positionH relativeFrom="column">
                  <wp:posOffset>-85725</wp:posOffset>
                </wp:positionH>
                <wp:positionV relativeFrom="paragraph">
                  <wp:posOffset>285115</wp:posOffset>
                </wp:positionV>
                <wp:extent cx="6800850" cy="21907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90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2% of all children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Remember that the first sign of an infection is the febrile convulsion in most cases. 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Criteria: 6 months to 6 years of age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Documented fever 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Generalised convulsion lasting less than 15 minutes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developmentally normal child 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Risk of developing epilepsy is 4% (higher if atypical â€“ focal, 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developmental, prolonged)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Take care if they have been unwell or had a fever for a few days this maybe meningitis or encephalitis.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it UTI with rigor?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Does the child have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documented fever if not don’</w:t>
                            </w: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make a diagnosis of Febrile Convulsions, a new epileptic can be missed and the parents falsely reassured.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22.45pt;width:5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" fillcolor="#d6e3bc [1302]" stroked="f" strokeweight="2pt">
                <v:textbox>
                  <w:txbxContent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2% of all children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Remember that the first sign of an infection is the febrile convulsion in most cases. 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Criteria: 6 months to 6 years of age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Documented fever 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Generalised convulsion lasting less than 15 minutes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developmentally normal child 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Risk of developing epilepsy is 4% (higher if atypical â€“ focal, 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developmental, prolonged)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Take care if they have been unwell or had a fever for a few days this maybe meningitis or encephalitis.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it UTI with rigor?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Does the child have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documented fever if not don’</w:t>
                      </w: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make a diagnosis of Febrile Convulsions, a new epileptic can be missed and the parents falsely reassured.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AE668" wp14:editId="23C60916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.7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F3thyL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B7FD1" wp14:editId="08635F67">
                <wp:simplePos x="0" y="0"/>
                <wp:positionH relativeFrom="column">
                  <wp:posOffset>-635</wp:posOffset>
                </wp:positionH>
                <wp:positionV relativeFrom="paragraph">
                  <wp:posOffset>279400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22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1190" w:rsidRDefault="00241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45E56" wp14:editId="37C3E2B5">
                <wp:simplePos x="0" y="0"/>
                <wp:positionH relativeFrom="column">
                  <wp:posOffset>-85725</wp:posOffset>
                </wp:positionH>
                <wp:positionV relativeFrom="paragraph">
                  <wp:posOffset>195580</wp:posOffset>
                </wp:positionV>
                <wp:extent cx="6800850" cy="12954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954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Detailed general and neurological examination with emphasis on the following: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Degree of alertness, evidence of intracranial infection.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Cause of the temperature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Neurological exam to detect any focal neurological signs 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Measuring and plotting head circumference, length and weight on the growth chart 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Skin 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hypopigmented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patches, 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green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patches and cafe</w:t>
                            </w: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-au-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lait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spots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6.75pt;margin-top:15.4pt;width:53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" fillcolor="#f1f3b3" stroked="f" strokeweight="2pt">
                <v:textbox>
                  <w:txbxContent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Detailed general and neurological examination with emphasis on the following: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Degree of alertness, evidence of intracranial infection.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Cause of the temperature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Neurological exam to detect any focal neurological signs 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Measuring and plotting head circumference, length and weight on the growth chart 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Skin 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hypopigmented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patches, 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green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patches and cafe</w:t>
                      </w: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-au-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lait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spots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190" w:rsidRDefault="00241190"/>
    <w:p w:rsidR="00241190" w:rsidRDefault="00241190"/>
    <w:p w:rsidR="00241190" w:rsidRDefault="00241190"/>
    <w:p w:rsidR="00241190" w:rsidRDefault="00241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3F34E" wp14:editId="42C9DB7A">
                <wp:simplePos x="0" y="0"/>
                <wp:positionH relativeFrom="column">
                  <wp:posOffset>-38100</wp:posOffset>
                </wp:positionH>
                <wp:positionV relativeFrom="paragraph">
                  <wp:posOffset>265430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20.9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CKil2W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1190" w:rsidRDefault="00241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791DC" wp14:editId="7B338F64">
                <wp:simplePos x="0" y="0"/>
                <wp:positionH relativeFrom="column">
                  <wp:posOffset>-85725</wp:posOffset>
                </wp:positionH>
                <wp:positionV relativeFrom="paragraph">
                  <wp:posOffset>204470</wp:posOffset>
                </wp:positionV>
                <wp:extent cx="6800850" cy="4286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86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241190" w:rsidRDefault="00241190" w:rsidP="00241190">
                            <w:pPr>
                              <w:rPr>
                                <w:rFonts w:cstheme="minorHAnsi"/>
                              </w:rPr>
                            </w:pPr>
                            <w:r w:rsidRPr="0024119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MSU (no need for routine </w:t>
                            </w:r>
                            <w:proofErr w:type="spellStart"/>
                            <w:r w:rsidRPr="0024119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U&amp;E</w:t>
                            </w:r>
                            <w:proofErr w:type="gramStart"/>
                            <w:r w:rsidRPr="0024119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,FBC,Ca,Mg</w:t>
                            </w:r>
                            <w:proofErr w:type="spellEnd"/>
                            <w:proofErr w:type="gramEnd"/>
                            <w:r w:rsidRPr="0024119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75pt;margin-top:16.1pt;width:53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" fillcolor="#e5dfec [663]" stroked="f" strokeweight="2pt">
                <v:textbox>
                  <w:txbxContent>
                    <w:p w:rsidR="005B1D6C" w:rsidRPr="00241190" w:rsidRDefault="00241190" w:rsidP="00241190">
                      <w:pPr>
                        <w:rPr>
                          <w:rFonts w:cstheme="minorHAnsi"/>
                        </w:rPr>
                      </w:pPr>
                      <w:r w:rsidRPr="0024119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MSU (no need for routine </w:t>
                      </w:r>
                      <w:proofErr w:type="spellStart"/>
                      <w:r w:rsidRPr="0024119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U&amp;E</w:t>
                      </w:r>
                      <w:proofErr w:type="gramStart"/>
                      <w:r w:rsidRPr="0024119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,FBC,Ca,Mg</w:t>
                      </w:r>
                      <w:proofErr w:type="spellEnd"/>
                      <w:proofErr w:type="gramEnd"/>
                      <w:r w:rsidRPr="0024119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241190" w:rsidRDefault="00241190"/>
    <w:p w:rsidR="00C77792" w:rsidRDefault="00241190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81E90" wp14:editId="76896E73">
                <wp:simplePos x="0" y="0"/>
                <wp:positionH relativeFrom="column">
                  <wp:posOffset>-133350</wp:posOffset>
                </wp:positionH>
                <wp:positionV relativeFrom="paragraph">
                  <wp:posOffset>4124325</wp:posOffset>
                </wp:positionV>
                <wp:extent cx="6848475" cy="15906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906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Following complete recovery from a brief non- focal febrile seizure hospital admission is not required for further observation and investigation, if the parents are confident and happy to go home (many are not) and all criteria for a febrile convulsion are met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cause of the temperature has been determined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child will tolerate antipyretics</w:t>
                            </w:r>
                          </w:p>
                          <w:p w:rsidR="00241190" w:rsidRPr="00241190" w:rsidRDefault="00241190" w:rsidP="0024119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Give advice as to what to do if the child has a further Febrile convulsions and a parents information leaflets</w:t>
                            </w:r>
                            <w:r w:rsidRPr="0024119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4" type="#_x0000_t176" style="position:absolute;margin-left:-10.5pt;margin-top:324.75pt;width:539.2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" fillcolor="#9fd3e1" stroked="f" strokeweight="2pt">
                <v:textbox>
                  <w:txbxContent>
                    <w:p w:rsidR="00241190" w:rsidRPr="00241190" w:rsidRDefault="00241190" w:rsidP="0024119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Following complete recovery from a brief non- focal febrile seizure hospital admission is not required for further observation and investigation, if the parents are confident and happy to go home (many are not) and all criteria for a febrile convulsion are met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cause of the temperature has been determined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child will tolerate antipyretics</w:t>
                      </w:r>
                    </w:p>
                    <w:p w:rsidR="00241190" w:rsidRPr="00241190" w:rsidRDefault="00241190" w:rsidP="0024119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Give advice as to what to do if the child has a further Febrile convulsions and a parents information leaflets</w:t>
                      </w:r>
                      <w:r w:rsidRPr="0024119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E93FE" wp14:editId="76B05634">
                <wp:simplePos x="0" y="0"/>
                <wp:positionH relativeFrom="column">
                  <wp:posOffset>-85725</wp:posOffset>
                </wp:positionH>
                <wp:positionV relativeFrom="paragraph">
                  <wp:posOffset>3841750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302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80E69" wp14:editId="127DC636">
                <wp:simplePos x="0" y="0"/>
                <wp:positionH relativeFrom="column">
                  <wp:posOffset>-190500</wp:posOffset>
                </wp:positionH>
                <wp:positionV relativeFrom="paragraph">
                  <wp:posOffset>38100</wp:posOffset>
                </wp:positionV>
                <wp:extent cx="6800850" cy="37242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190" w:rsidRPr="00241190" w:rsidRDefault="00241190" w:rsidP="0024119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Criteria for a febrile convulsion are not met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focus for the fever can be ascertained 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GCS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&lt; 15 one hour after the seizure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evidence of raised intracranial tension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Signs of respiratory distress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Complex seizure â€“ prolonged (i.e. &gt; 15 min), or focal, or recurrent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High parent or carer anxiety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Rescue medication has been given</w:t>
                            </w:r>
                          </w:p>
                          <w:p w:rsidR="00241190" w:rsidRPr="00241190" w:rsidRDefault="00241190" w:rsidP="0024119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241190" w:rsidRPr="00241190" w:rsidRDefault="00241190" w:rsidP="0024119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Follow up in Paediatric clinic if: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Prolonged or Recurrent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Concern that there is not always a temperature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Neurodelopmental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delay had been identified</w:t>
                            </w:r>
                          </w:p>
                          <w:p w:rsidR="00241190" w:rsidRPr="00241190" w:rsidRDefault="00241190" w:rsidP="002411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Do not give Rectal Diazepam or </w:t>
                            </w:r>
                            <w:proofErr w:type="spellStart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Buccal</w:t>
                            </w:r>
                            <w:proofErr w:type="spellEnd"/>
                            <w:r w:rsidRPr="002411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Midazolam unless febrile convulsions are prolonged and frequent. It should be dispensed if any child has febrile status. These children need follow up in paediatric clinic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6" type="#_x0000_t176" style="position:absolute;margin-left:-15pt;margin-top:3pt;width:535.5pt;height:2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" fillcolor="#ffabab" stroked="f" strokeweight="2pt">
                <v:textbox>
                  <w:txbxContent>
                    <w:p w:rsidR="00241190" w:rsidRPr="00241190" w:rsidRDefault="00241190" w:rsidP="0024119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Criteria for a febrile convulsion are not met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focus for the fever can be ascertained 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GCS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&lt; 15 one hour after the seizure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evidence of raised intracranial tension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Signs of respiratory distress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Complex seizure â€“ prolonged (i.e. &gt; 15 min), or focal, or recurrent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High parent or carer anxiety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Rescue medication has been given</w:t>
                      </w:r>
                    </w:p>
                    <w:p w:rsidR="00241190" w:rsidRPr="00241190" w:rsidRDefault="00241190" w:rsidP="0024119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241190" w:rsidRPr="00241190" w:rsidRDefault="00241190" w:rsidP="0024119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Follow up in Paediatric clinic if: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Prolonged or Recurrent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Concern that there is not always a temperature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Neurodelopmental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delay had been identified</w:t>
                      </w:r>
                    </w:p>
                    <w:p w:rsidR="00241190" w:rsidRPr="00241190" w:rsidRDefault="00241190" w:rsidP="002411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Do not give Rectal Diazepam or </w:t>
                      </w:r>
                      <w:proofErr w:type="spellStart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Buccal</w:t>
                      </w:r>
                      <w:proofErr w:type="spellEnd"/>
                      <w:r w:rsidRPr="002411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Midazolam unless febrile convulsions are prolonged and frequent. It should be dispensed if any child has febrile status. These children need follow up in paediatric clinic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9C6F4" wp14:editId="23C26778">
                <wp:simplePos x="0" y="0"/>
                <wp:positionH relativeFrom="column">
                  <wp:posOffset>-190500</wp:posOffset>
                </wp:positionH>
                <wp:positionV relativeFrom="paragraph">
                  <wp:posOffset>-252730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pt;margin-top:-19.9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wF3QId0A&#10;AAAJ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509C"/>
    <w:multiLevelType w:val="multilevel"/>
    <w:tmpl w:val="5AD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D7DC6"/>
    <w:multiLevelType w:val="multilevel"/>
    <w:tmpl w:val="CDE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A7467"/>
    <w:multiLevelType w:val="hybridMultilevel"/>
    <w:tmpl w:val="A9F0D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D328C"/>
    <w:multiLevelType w:val="multilevel"/>
    <w:tmpl w:val="B9B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761E6"/>
    <w:multiLevelType w:val="hybridMultilevel"/>
    <w:tmpl w:val="DF46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8238D"/>
    <w:multiLevelType w:val="multilevel"/>
    <w:tmpl w:val="283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2668B"/>
    <w:multiLevelType w:val="multilevel"/>
    <w:tmpl w:val="6C2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F366B"/>
    <w:multiLevelType w:val="multilevel"/>
    <w:tmpl w:val="F0F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41190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1190"/>
    <w:rPr>
      <w:b/>
      <w:bCs/>
    </w:rPr>
  </w:style>
  <w:style w:type="paragraph" w:styleId="ListParagraph">
    <w:name w:val="List Paragraph"/>
    <w:basedOn w:val="Normal"/>
    <w:uiPriority w:val="34"/>
    <w:qFormat/>
    <w:rsid w:val="0024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1190"/>
    <w:rPr>
      <w:b/>
      <w:bCs/>
    </w:rPr>
  </w:style>
  <w:style w:type="paragraph" w:styleId="ListParagraph">
    <w:name w:val="List Paragraph"/>
    <w:basedOn w:val="Normal"/>
    <w:uiPriority w:val="34"/>
    <w:qFormat/>
    <w:rsid w:val="0024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8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0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2016-03-04T13:08:00Z</dcterms:modified>
</cp:coreProperties>
</file>